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ind w:left="0" w:firstLine="0"/>
        <w:rPr>
          <w:rFonts w:hint="eastAsia" w:ascii="黑体" w:hAnsi="黑体" w:eastAsia="黑体"/>
          <w:b w:val="0"/>
          <w:sz w:val="32"/>
          <w:szCs w:val="32"/>
        </w:rPr>
      </w:pPr>
      <w:r>
        <w:rPr>
          <w:rFonts w:ascii="黑体" w:hAnsi="黑体" w:eastAsia="黑体"/>
          <w:b w:val="0"/>
          <w:sz w:val="32"/>
          <w:szCs w:val="32"/>
        </w:rPr>
        <w:t>附件</w:t>
      </w:r>
    </w:p>
    <w:p>
      <w:pPr>
        <w:pStyle w:val="3"/>
        <w:spacing w:line="700" w:lineRule="exact"/>
        <w:ind w:left="0" w:firstLine="0"/>
        <w:jc w:val="center"/>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卫生健康系统开展群众身边腐败和作风问题治理情况统计表（一）</w:t>
      </w:r>
    </w:p>
    <w:p>
      <w:pPr>
        <w:rPr>
          <w:rFonts w:hint="eastAsia"/>
          <w:bCs/>
        </w:rPr>
      </w:pPr>
      <w:r>
        <w:rPr>
          <w:rFonts w:hint="eastAsia" w:ascii="仿宋_GB2312" w:eastAsia="仿宋_GB2312"/>
          <w:bCs/>
        </w:rPr>
        <w:t>填报单位：                                                                                                填报时间：2021年  月  日</w:t>
      </w:r>
    </w:p>
    <w:tbl>
      <w:tblPr>
        <w:tblStyle w:val="5"/>
        <w:tblpPr w:leftFromText="180" w:rightFromText="180" w:vertAnchor="text" w:horzAnchor="page" w:tblpX="1356" w:tblpY="18"/>
        <w:tblOverlap w:val="never"/>
        <w:tblW w:w="0" w:type="auto"/>
        <w:tblInd w:w="0" w:type="dxa"/>
        <w:tblLayout w:type="fixed"/>
        <w:tblCellMar>
          <w:top w:w="0" w:type="dxa"/>
          <w:left w:w="108" w:type="dxa"/>
          <w:bottom w:w="0" w:type="dxa"/>
          <w:right w:w="108" w:type="dxa"/>
        </w:tblCellMar>
      </w:tblPr>
      <w:tblGrid>
        <w:gridCol w:w="577"/>
        <w:gridCol w:w="1367"/>
        <w:gridCol w:w="1028"/>
        <w:gridCol w:w="1029"/>
        <w:gridCol w:w="1028"/>
        <w:gridCol w:w="1028"/>
        <w:gridCol w:w="1030"/>
        <w:gridCol w:w="1268"/>
        <w:gridCol w:w="1153"/>
        <w:gridCol w:w="1580"/>
        <w:gridCol w:w="1260"/>
        <w:gridCol w:w="1080"/>
        <w:gridCol w:w="1268"/>
      </w:tblGrid>
      <w:tr>
        <w:tblPrEx>
          <w:tblCellMar>
            <w:top w:w="0" w:type="dxa"/>
            <w:left w:w="108" w:type="dxa"/>
            <w:bottom w:w="0" w:type="dxa"/>
            <w:right w:w="108" w:type="dxa"/>
          </w:tblCellMar>
        </w:tblPrEx>
        <w:trPr>
          <w:trHeight w:val="622" w:hRule="atLeast"/>
        </w:trPr>
        <w:tc>
          <w:tcPr>
            <w:tcW w:w="57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序号</w:t>
            </w:r>
          </w:p>
        </w:tc>
        <w:tc>
          <w:tcPr>
            <w:tcW w:w="136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单位</w:t>
            </w:r>
          </w:p>
        </w:tc>
        <w:tc>
          <w:tcPr>
            <w:tcW w:w="2057" w:type="dxa"/>
            <w:gridSpan w:val="2"/>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自查自纠（个）</w:t>
            </w:r>
          </w:p>
        </w:tc>
        <w:tc>
          <w:tcPr>
            <w:tcW w:w="3086" w:type="dxa"/>
            <w:gridSpan w:val="3"/>
            <w:tcBorders>
              <w:top w:val="single" w:color="000000" w:sz="4" w:space="0"/>
              <w:left w:val="single" w:color="000000" w:sz="4" w:space="0"/>
              <w:bottom w:val="nil"/>
              <w:right w:val="nil"/>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第一种形态运用（人）</w:t>
            </w:r>
          </w:p>
        </w:tc>
        <w:tc>
          <w:tcPr>
            <w:tcW w:w="242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检查、监察建议</w:t>
            </w:r>
            <w:r>
              <w:rPr>
                <w:rFonts w:hint="eastAsia" w:ascii="黑体" w:hAnsi="宋体" w:eastAsia="黑体" w:cs="黑体"/>
                <w:color w:val="000000"/>
                <w:kern w:val="0"/>
                <w:sz w:val="24"/>
                <w:lang w:bidi="ar"/>
              </w:rPr>
              <w:br w:type="textWrapping"/>
            </w:r>
            <w:r>
              <w:rPr>
                <w:rFonts w:hint="eastAsia" w:ascii="黑体" w:hAnsi="宋体" w:eastAsia="黑体" w:cs="黑体"/>
                <w:color w:val="000000"/>
                <w:kern w:val="0"/>
                <w:sz w:val="24"/>
                <w:lang w:bidi="ar"/>
              </w:rPr>
              <w:t>（份）</w:t>
            </w:r>
          </w:p>
        </w:tc>
        <w:tc>
          <w:tcPr>
            <w:tcW w:w="3920" w:type="dxa"/>
            <w:gridSpan w:val="3"/>
            <w:tcBorders>
              <w:top w:val="single" w:color="000000" w:sz="4" w:space="0"/>
              <w:left w:val="nil"/>
              <w:bottom w:val="single" w:color="000000" w:sz="4" w:space="0"/>
              <w:right w:val="nil"/>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以案促改</w:t>
            </w:r>
          </w:p>
        </w:tc>
        <w:tc>
          <w:tcPr>
            <w:tcW w:w="126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解决群众实际问题（个）</w:t>
            </w:r>
          </w:p>
        </w:tc>
      </w:tr>
      <w:tr>
        <w:tblPrEx>
          <w:tblCellMar>
            <w:top w:w="0" w:type="dxa"/>
            <w:left w:w="108" w:type="dxa"/>
            <w:bottom w:w="0" w:type="dxa"/>
            <w:right w:w="108" w:type="dxa"/>
          </w:tblCellMar>
        </w:tblPrEx>
        <w:trPr>
          <w:trHeight w:val="1123" w:hRule="atLeast"/>
        </w:trPr>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4"/>
              </w:rPr>
            </w:pPr>
          </w:p>
        </w:tc>
        <w:tc>
          <w:tcPr>
            <w:tcW w:w="102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发现</w:t>
            </w:r>
          </w:p>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问题</w:t>
            </w:r>
          </w:p>
        </w:tc>
        <w:tc>
          <w:tcPr>
            <w:tcW w:w="1029" w:type="dxa"/>
            <w:tcBorders>
              <w:top w:val="single" w:color="000000" w:sz="4" w:space="0"/>
              <w:left w:val="single" w:color="000000" w:sz="4" w:space="0"/>
              <w:bottom w:val="nil"/>
              <w:right w:val="nil"/>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完成</w:t>
            </w:r>
          </w:p>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整改</w:t>
            </w:r>
          </w:p>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问题</w:t>
            </w:r>
          </w:p>
        </w:tc>
        <w:tc>
          <w:tcPr>
            <w:tcW w:w="102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诫勉</w:t>
            </w:r>
          </w:p>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谈话</w:t>
            </w:r>
          </w:p>
        </w:tc>
        <w:tc>
          <w:tcPr>
            <w:tcW w:w="1028"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通报</w:t>
            </w:r>
          </w:p>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批评</w:t>
            </w:r>
          </w:p>
        </w:tc>
        <w:tc>
          <w:tcPr>
            <w:tcW w:w="103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其他</w:t>
            </w:r>
          </w:p>
        </w:tc>
        <w:tc>
          <w:tcPr>
            <w:tcW w:w="1268" w:type="dxa"/>
            <w:tcBorders>
              <w:top w:val="nil"/>
              <w:left w:val="nil"/>
              <w:bottom w:val="nil"/>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收到</w:t>
            </w:r>
          </w:p>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检查监察</w:t>
            </w:r>
          </w:p>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建议书</w:t>
            </w:r>
          </w:p>
        </w:tc>
        <w:tc>
          <w:tcPr>
            <w:tcW w:w="1153" w:type="dxa"/>
            <w:tcBorders>
              <w:top w:val="nil"/>
              <w:left w:val="single" w:color="000000" w:sz="4" w:space="0"/>
              <w:bottom w:val="nil"/>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执行</w:t>
            </w:r>
          </w:p>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完成</w:t>
            </w:r>
          </w:p>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回复数</w:t>
            </w:r>
          </w:p>
        </w:tc>
        <w:tc>
          <w:tcPr>
            <w:tcW w:w="158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召开民主</w:t>
            </w:r>
          </w:p>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（组织）</w:t>
            </w:r>
          </w:p>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生活会（次）</w:t>
            </w:r>
          </w:p>
        </w:tc>
        <w:tc>
          <w:tcPr>
            <w:tcW w:w="1260" w:type="dxa"/>
            <w:tcBorders>
              <w:top w:val="single" w:color="000000" w:sz="4" w:space="0"/>
              <w:left w:val="single" w:color="000000" w:sz="4" w:space="0"/>
              <w:bottom w:val="nil"/>
              <w:right w:val="single" w:color="000000" w:sz="4" w:space="0"/>
            </w:tcBorders>
            <w:noWrap w:val="0"/>
            <w:vAlign w:val="center"/>
          </w:tcPr>
          <w:p>
            <w:pPr>
              <w:widowControl/>
              <w:jc w:val="center"/>
              <w:textAlignment w:val="center"/>
              <w:rPr>
                <w:rFonts w:hint="eastAsia" w:ascii="黑体" w:hAnsi="宋体" w:eastAsia="黑体" w:cs="黑体"/>
                <w:color w:val="000000"/>
                <w:kern w:val="0"/>
                <w:sz w:val="24"/>
                <w:lang w:bidi="ar"/>
              </w:rPr>
            </w:pPr>
            <w:r>
              <w:rPr>
                <w:rFonts w:hint="eastAsia" w:ascii="黑体" w:hAnsi="宋体" w:eastAsia="黑体" w:cs="黑体"/>
                <w:color w:val="000000"/>
                <w:kern w:val="0"/>
                <w:sz w:val="24"/>
                <w:lang w:bidi="ar"/>
              </w:rPr>
              <w:t>开展警示</w:t>
            </w:r>
          </w:p>
          <w:p>
            <w:pPr>
              <w:widowControl/>
              <w:jc w:val="center"/>
              <w:textAlignment w:val="center"/>
              <w:rPr>
                <w:rFonts w:hint="eastAsia" w:ascii="黑体" w:hAnsi="宋体" w:eastAsia="黑体" w:cs="黑体"/>
                <w:color w:val="000000"/>
                <w:sz w:val="24"/>
              </w:rPr>
            </w:pPr>
            <w:r>
              <w:rPr>
                <w:rFonts w:hint="eastAsia" w:ascii="黑体" w:hAnsi="宋体" w:eastAsia="黑体" w:cs="黑体"/>
                <w:color w:val="000000"/>
                <w:kern w:val="0"/>
                <w:sz w:val="24"/>
                <w:lang w:bidi="ar"/>
              </w:rPr>
              <w:t>教育活动（次）</w:t>
            </w:r>
          </w:p>
        </w:tc>
        <w:tc>
          <w:tcPr>
            <w:tcW w:w="1080" w:type="dxa"/>
            <w:tcBorders>
              <w:top w:val="single" w:color="000000" w:sz="4" w:space="0"/>
              <w:left w:val="single" w:color="000000" w:sz="4" w:space="0"/>
              <w:bottom w:val="nil"/>
              <w:right w:val="nil"/>
            </w:tcBorders>
            <w:noWrap w:val="0"/>
            <w:vAlign w:val="center"/>
          </w:tcPr>
          <w:p>
            <w:pPr>
              <w:widowControl/>
              <w:jc w:val="center"/>
              <w:textAlignment w:val="center"/>
              <w:rPr>
                <w:rStyle w:val="7"/>
                <w:rFonts w:hint="default"/>
                <w:lang w:bidi="ar"/>
              </w:rPr>
            </w:pPr>
            <w:r>
              <w:rPr>
                <w:rStyle w:val="7"/>
                <w:rFonts w:hint="default"/>
                <w:lang w:bidi="ar"/>
              </w:rPr>
              <w:t>建立完善制度</w:t>
            </w:r>
          </w:p>
          <w:p>
            <w:pPr>
              <w:widowControl/>
              <w:jc w:val="center"/>
              <w:textAlignment w:val="center"/>
              <w:rPr>
                <w:rFonts w:hint="eastAsia" w:ascii="黑体" w:hAnsi="宋体" w:eastAsia="黑体" w:cs="黑体"/>
                <w:color w:val="000000"/>
                <w:sz w:val="24"/>
              </w:rPr>
            </w:pPr>
            <w:r>
              <w:rPr>
                <w:rStyle w:val="8"/>
                <w:rFonts w:hint="default"/>
                <w:lang w:bidi="ar"/>
              </w:rPr>
              <w:t>（个）</w:t>
            </w:r>
          </w:p>
        </w:tc>
        <w:tc>
          <w:tcPr>
            <w:tcW w:w="126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4"/>
              </w:rPr>
            </w:pPr>
          </w:p>
        </w:tc>
      </w:tr>
      <w:tr>
        <w:tblPrEx>
          <w:tblCellMar>
            <w:top w:w="0" w:type="dxa"/>
            <w:left w:w="108" w:type="dxa"/>
            <w:bottom w:w="0" w:type="dxa"/>
            <w:right w:w="108" w:type="dxa"/>
          </w:tblCellMar>
        </w:tblPrEx>
        <w:trPr>
          <w:trHeight w:val="455" w:hRule="atLeast"/>
        </w:trPr>
        <w:tc>
          <w:tcPr>
            <w:tcW w:w="57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4"/>
              </w:rPr>
            </w:pPr>
          </w:p>
        </w:tc>
        <w:tc>
          <w:tcPr>
            <w:tcW w:w="136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color w:val="000000"/>
                <w:sz w:val="24"/>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w:t>
            </w:r>
          </w:p>
        </w:tc>
        <w:tc>
          <w:tcPr>
            <w:tcW w:w="102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（2）</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（3）</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（4）</w:t>
            </w:r>
          </w:p>
        </w:tc>
        <w:tc>
          <w:tcPr>
            <w:tcW w:w="10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（5）</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（6）</w:t>
            </w:r>
          </w:p>
        </w:tc>
        <w:tc>
          <w:tcPr>
            <w:tcW w:w="11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（7）</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（8）</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（9）</w:t>
            </w:r>
          </w:p>
        </w:tc>
        <w:tc>
          <w:tcPr>
            <w:tcW w:w="1080" w:type="dxa"/>
            <w:tcBorders>
              <w:top w:val="single" w:color="000000" w:sz="4" w:space="0"/>
              <w:left w:val="single" w:color="000000" w:sz="4" w:space="0"/>
              <w:bottom w:val="single" w:color="000000" w:sz="4" w:space="0"/>
              <w:right w:val="nil"/>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0"/>
                <w:szCs w:val="20"/>
              </w:rPr>
            </w:pPr>
            <w:r>
              <w:rPr>
                <w:rFonts w:hint="eastAsia" w:ascii="黑体" w:hAnsi="宋体" w:eastAsia="黑体" w:cs="黑体"/>
                <w:color w:val="000000"/>
                <w:kern w:val="0"/>
                <w:sz w:val="20"/>
                <w:szCs w:val="20"/>
                <w:lang w:bidi="ar"/>
              </w:rPr>
              <w:t>（11）</w:t>
            </w:r>
          </w:p>
        </w:tc>
      </w:tr>
      <w:tr>
        <w:tblPrEx>
          <w:tblCellMar>
            <w:top w:w="0" w:type="dxa"/>
            <w:left w:w="108" w:type="dxa"/>
            <w:bottom w:w="0" w:type="dxa"/>
            <w:right w:w="108" w:type="dxa"/>
          </w:tblCellMar>
        </w:tblPrEx>
        <w:trPr>
          <w:trHeight w:val="678" w:hRule="atLeast"/>
        </w:trPr>
        <w:tc>
          <w:tcPr>
            <w:tcW w:w="577"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36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合计</w:t>
            </w:r>
          </w:p>
        </w:tc>
        <w:tc>
          <w:tcPr>
            <w:tcW w:w="102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29"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2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2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30"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26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153"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580"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260" w:type="dxa"/>
            <w:tcBorders>
              <w:top w:val="nil"/>
              <w:left w:val="single" w:color="000000" w:sz="4" w:space="0"/>
              <w:bottom w:val="single" w:color="000000" w:sz="4" w:space="0"/>
              <w:right w:val="nil"/>
            </w:tcBorders>
            <w:noWrap w:val="0"/>
            <w:vAlign w:val="center"/>
          </w:tcPr>
          <w:p>
            <w:pPr>
              <w:jc w:val="center"/>
              <w:rPr>
                <w:b/>
                <w:bCs/>
                <w:color w:val="000000"/>
                <w:sz w:val="24"/>
              </w:rPr>
            </w:pPr>
          </w:p>
        </w:tc>
        <w:tc>
          <w:tcPr>
            <w:tcW w:w="1080" w:type="dxa"/>
            <w:tcBorders>
              <w:top w:val="nil"/>
              <w:left w:val="single" w:color="000000" w:sz="4" w:space="0"/>
              <w:bottom w:val="single" w:color="000000" w:sz="4" w:space="0"/>
              <w:right w:val="nil"/>
            </w:tcBorders>
            <w:noWrap w:val="0"/>
            <w:vAlign w:val="center"/>
          </w:tcPr>
          <w:p>
            <w:pPr>
              <w:jc w:val="center"/>
              <w:rPr>
                <w:b/>
                <w:bCs/>
                <w:color w:val="000000"/>
                <w:sz w:val="24"/>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78" w:hRule="atLeast"/>
        </w:trPr>
        <w:tc>
          <w:tcPr>
            <w:tcW w:w="577"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36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2"/>
                <w:szCs w:val="22"/>
              </w:rPr>
            </w:pPr>
            <w:r>
              <w:rPr>
                <w:rFonts w:hint="eastAsia" w:ascii="黑体" w:hAnsi="宋体" w:eastAsia="黑体" w:cs="黑体"/>
                <w:color w:val="000000"/>
                <w:kern w:val="0"/>
                <w:sz w:val="22"/>
                <w:szCs w:val="22"/>
                <w:lang w:bidi="ar"/>
              </w:rPr>
              <w:t>XX市</w:t>
            </w:r>
          </w:p>
        </w:tc>
        <w:tc>
          <w:tcPr>
            <w:tcW w:w="102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29"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2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2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30"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26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153"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580"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260" w:type="dxa"/>
            <w:tcBorders>
              <w:top w:val="nil"/>
              <w:left w:val="single" w:color="000000" w:sz="4" w:space="0"/>
              <w:bottom w:val="single" w:color="000000" w:sz="4" w:space="0"/>
              <w:right w:val="nil"/>
            </w:tcBorders>
            <w:noWrap w:val="0"/>
            <w:vAlign w:val="center"/>
          </w:tcPr>
          <w:p>
            <w:pPr>
              <w:jc w:val="center"/>
              <w:rPr>
                <w:b/>
                <w:bCs/>
                <w:color w:val="000000"/>
                <w:sz w:val="24"/>
              </w:rPr>
            </w:pPr>
          </w:p>
        </w:tc>
        <w:tc>
          <w:tcPr>
            <w:tcW w:w="1080" w:type="dxa"/>
            <w:tcBorders>
              <w:top w:val="single" w:color="000000" w:sz="4" w:space="0"/>
              <w:left w:val="single" w:color="000000" w:sz="4" w:space="0"/>
              <w:bottom w:val="single" w:color="000000" w:sz="4" w:space="0"/>
              <w:right w:val="nil"/>
            </w:tcBorders>
            <w:noWrap w:val="0"/>
            <w:vAlign w:val="center"/>
          </w:tcPr>
          <w:p>
            <w:pPr>
              <w:jc w:val="center"/>
              <w:rPr>
                <w:b/>
                <w:bCs/>
                <w:color w:val="000000"/>
                <w:sz w:val="24"/>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687" w:hRule="atLeast"/>
        </w:trPr>
        <w:tc>
          <w:tcPr>
            <w:tcW w:w="577"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367" w:type="dxa"/>
            <w:tcBorders>
              <w:top w:val="nil"/>
              <w:left w:val="nil"/>
              <w:bottom w:val="single" w:color="000000" w:sz="4" w:space="0"/>
              <w:right w:val="single" w:color="000000" w:sz="4" w:space="0"/>
            </w:tcBorders>
            <w:noWrap w:val="0"/>
            <w:vAlign w:val="center"/>
          </w:tcPr>
          <w:p>
            <w:pPr>
              <w:jc w:val="center"/>
              <w:rPr>
                <w:rFonts w:hint="eastAsia" w:ascii="黑体" w:hAnsi="宋体" w:eastAsia="黑体" w:cs="黑体"/>
                <w:color w:val="000000"/>
                <w:sz w:val="22"/>
                <w:szCs w:val="22"/>
              </w:rPr>
            </w:pPr>
          </w:p>
        </w:tc>
        <w:tc>
          <w:tcPr>
            <w:tcW w:w="102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29"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2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2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030"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268"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153"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580" w:type="dxa"/>
            <w:tcBorders>
              <w:top w:val="nil"/>
              <w:left w:val="single" w:color="000000" w:sz="4" w:space="0"/>
              <w:bottom w:val="single" w:color="000000" w:sz="4" w:space="0"/>
              <w:right w:val="single" w:color="000000" w:sz="4" w:space="0"/>
            </w:tcBorders>
            <w:noWrap w:val="0"/>
            <w:vAlign w:val="center"/>
          </w:tcPr>
          <w:p>
            <w:pPr>
              <w:jc w:val="center"/>
              <w:rPr>
                <w:b/>
                <w:bCs/>
                <w:color w:val="000000"/>
                <w:sz w:val="24"/>
              </w:rPr>
            </w:pPr>
          </w:p>
        </w:tc>
        <w:tc>
          <w:tcPr>
            <w:tcW w:w="1260" w:type="dxa"/>
            <w:tcBorders>
              <w:top w:val="nil"/>
              <w:left w:val="single" w:color="000000" w:sz="4" w:space="0"/>
              <w:bottom w:val="single" w:color="000000" w:sz="4" w:space="0"/>
              <w:right w:val="nil"/>
            </w:tcBorders>
            <w:noWrap w:val="0"/>
            <w:vAlign w:val="center"/>
          </w:tcPr>
          <w:p>
            <w:pPr>
              <w:jc w:val="center"/>
              <w:rPr>
                <w:b/>
                <w:bCs/>
                <w:color w:val="000000"/>
                <w:sz w:val="24"/>
              </w:rPr>
            </w:pPr>
          </w:p>
        </w:tc>
        <w:tc>
          <w:tcPr>
            <w:tcW w:w="1080" w:type="dxa"/>
            <w:tcBorders>
              <w:top w:val="single" w:color="000000" w:sz="4" w:space="0"/>
              <w:left w:val="single" w:color="000000" w:sz="4" w:space="0"/>
              <w:bottom w:val="single" w:color="000000" w:sz="4" w:space="0"/>
              <w:right w:val="nil"/>
            </w:tcBorders>
            <w:noWrap w:val="0"/>
            <w:vAlign w:val="center"/>
          </w:tcPr>
          <w:p>
            <w:pPr>
              <w:jc w:val="center"/>
              <w:rPr>
                <w:b/>
                <w:bCs/>
                <w:color w:val="000000"/>
                <w:sz w:val="24"/>
              </w:rPr>
            </w:pP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bl>
    <w:p>
      <w:pPr>
        <w:rPr>
          <w:rFonts w:hint="eastAsia"/>
        </w:rPr>
      </w:pPr>
      <w:r>
        <w:rPr>
          <w:rFonts w:hint="eastAsia"/>
        </w:rPr>
        <w:t>单位负责人：                                                    填表人：                          联系方式：</w:t>
      </w:r>
    </w:p>
    <w:p>
      <w:pPr>
        <w:rPr>
          <w:rFonts w:hint="eastAsia" w:ascii="宋体" w:hAnsi="宋体" w:cs="宋体"/>
          <w:bCs/>
          <w:sz w:val="18"/>
          <w:szCs w:val="18"/>
        </w:rPr>
      </w:pPr>
      <w:r>
        <w:rPr>
          <w:rFonts w:hint="eastAsia" w:ascii="宋体" w:hAnsi="宋体" w:cs="宋体"/>
          <w:bCs/>
          <w:sz w:val="18"/>
          <w:szCs w:val="18"/>
        </w:rPr>
        <w:t>填报说明：</w:t>
      </w:r>
    </w:p>
    <w:p>
      <w:pPr>
        <w:rPr>
          <w:rFonts w:hint="eastAsia" w:ascii="宋体" w:hAnsi="宋体" w:cs="宋体"/>
          <w:bCs/>
          <w:sz w:val="18"/>
          <w:szCs w:val="18"/>
        </w:rPr>
      </w:pPr>
      <w:r>
        <w:rPr>
          <w:rFonts w:hint="eastAsia" w:ascii="宋体" w:hAnsi="宋体" w:cs="宋体"/>
          <w:bCs/>
          <w:sz w:val="18"/>
          <w:szCs w:val="18"/>
        </w:rPr>
        <w:t xml:space="preserve">    1.“自查自纠”包括本单位自己发现的问题和上级部门检查发现的问题。2.“第一种形态运用”指职能部门党委（党组）、机关纪委落实全面从严治党责任在干部队伍中常态化开展“咬耳扯袖、红脸出汗”式批评教育帮助活动；第一种形态包括：提醒谈话、警示谈话、批评教育、纠正或责令停止违纪行为、责成退出违纪所得、限期整改、责令作出口头或书面检查、召开民主生活会批评帮助、责令公开道歉（检讨）、通报（通报批评）、诫勉（诫勉谈话）、其他批评教育类措施。3.“通报批评”只统计本级印发的通报，不包括上级转发的通报文件。4.“警示教育活动”统计本单位和下属二次机构利用有关反面教材对干部开展具有警示教育意义的相关活动，包括警示教育大会、案例通报学习、参观廉政教育基地、组织旁听审判活动等。5.本表由相关职能部门填写，逐月累计，数据统计至县级，上级统计数应包含下级统计数据。</w:t>
      </w:r>
    </w:p>
    <w:p>
      <w:pPr>
        <w:pStyle w:val="3"/>
        <w:spacing w:line="400" w:lineRule="exact"/>
        <w:ind w:left="0" w:firstLine="0"/>
        <w:rPr>
          <w:rFonts w:ascii="黑体" w:hAnsi="黑体" w:eastAsia="黑体"/>
          <w:b w:val="0"/>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卫生健康系统开展群众身边腐败和作风问题治理情况统计表（二）</w:t>
      </w:r>
    </w:p>
    <w:p>
      <w:pPr>
        <w:pStyle w:val="3"/>
        <w:ind w:left="0" w:firstLine="0"/>
        <w:rPr>
          <w:rFonts w:hint="eastAsia" w:ascii="仿宋_GB2312" w:eastAsia="仿宋_GB2312"/>
        </w:rPr>
      </w:pPr>
      <w:r>
        <w:rPr>
          <w:rFonts w:hint="eastAsia" w:ascii="仿宋_GB2312" w:eastAsia="仿宋_GB2312"/>
          <w:b w:val="0"/>
        </w:rPr>
        <w:t>填报单位：                                                                                                填报时间：2021年  月  日</w:t>
      </w:r>
    </w:p>
    <w:tbl>
      <w:tblPr>
        <w:tblStyle w:val="5"/>
        <w:tblW w:w="0" w:type="auto"/>
        <w:jc w:val="center"/>
        <w:tblLayout w:type="fixed"/>
        <w:tblCellMar>
          <w:top w:w="0" w:type="dxa"/>
          <w:left w:w="0" w:type="dxa"/>
          <w:bottom w:w="0" w:type="dxa"/>
          <w:right w:w="0" w:type="dxa"/>
        </w:tblCellMar>
      </w:tblPr>
      <w:tblGrid>
        <w:gridCol w:w="701"/>
        <w:gridCol w:w="600"/>
        <w:gridCol w:w="1201"/>
        <w:gridCol w:w="711"/>
        <w:gridCol w:w="714"/>
        <w:gridCol w:w="501"/>
        <w:gridCol w:w="502"/>
        <w:gridCol w:w="501"/>
        <w:gridCol w:w="502"/>
        <w:gridCol w:w="673"/>
        <w:gridCol w:w="501"/>
        <w:gridCol w:w="501"/>
        <w:gridCol w:w="513"/>
        <w:gridCol w:w="815"/>
        <w:gridCol w:w="865"/>
        <w:gridCol w:w="952"/>
        <w:gridCol w:w="878"/>
        <w:gridCol w:w="673"/>
        <w:gridCol w:w="817"/>
        <w:gridCol w:w="725"/>
        <w:gridCol w:w="1133"/>
      </w:tblGrid>
      <w:tr>
        <w:tblPrEx>
          <w:tblCellMar>
            <w:top w:w="0" w:type="dxa"/>
            <w:left w:w="0" w:type="dxa"/>
            <w:bottom w:w="0" w:type="dxa"/>
            <w:right w:w="0" w:type="dxa"/>
          </w:tblCellMar>
        </w:tblPrEx>
        <w:trPr>
          <w:trHeight w:val="475" w:hRule="atLeast"/>
          <w:jc w:val="center"/>
        </w:trPr>
        <w:tc>
          <w:tcPr>
            <w:tcW w:w="250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项目</w:t>
            </w:r>
          </w:p>
        </w:tc>
        <w:tc>
          <w:tcPr>
            <w:tcW w:w="7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统筹区内定点医疗机构数（家）</w:t>
            </w:r>
          </w:p>
        </w:tc>
        <w:tc>
          <w:tcPr>
            <w:tcW w:w="7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检查定点医疗机构数（家）</w:t>
            </w:r>
          </w:p>
        </w:tc>
        <w:tc>
          <w:tcPr>
            <w:tcW w:w="4194" w:type="dxa"/>
            <w:gridSpan w:val="8"/>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处理违法违规机构数量（家）</w:t>
            </w:r>
          </w:p>
        </w:tc>
        <w:tc>
          <w:tcPr>
            <w:tcW w:w="3510" w:type="dxa"/>
            <w:gridSpan w:val="4"/>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清退违规医保基金</w:t>
            </w:r>
          </w:p>
        </w:tc>
        <w:tc>
          <w:tcPr>
            <w:tcW w:w="221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处理人员情况</w:t>
            </w:r>
          </w:p>
        </w:tc>
        <w:tc>
          <w:tcPr>
            <w:tcW w:w="1133" w:type="dxa"/>
            <w:vMerge w:val="restart"/>
            <w:tcBorders>
              <w:top w:val="single" w:color="000000" w:sz="4" w:space="0"/>
              <w:left w:val="single" w:color="000000" w:sz="4" w:space="0"/>
              <w:right w:val="single" w:color="000000" w:sz="4" w:space="0"/>
            </w:tcBorders>
            <w:noWrap w:val="0"/>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备注</w:t>
            </w:r>
          </w:p>
        </w:tc>
      </w:tr>
      <w:tr>
        <w:tblPrEx>
          <w:tblCellMar>
            <w:top w:w="0" w:type="dxa"/>
            <w:left w:w="0" w:type="dxa"/>
            <w:bottom w:w="0" w:type="dxa"/>
            <w:right w:w="0" w:type="dxa"/>
          </w:tblCellMar>
        </w:tblPrEx>
        <w:trPr>
          <w:trHeight w:val="1223" w:hRule="atLeast"/>
          <w:jc w:val="center"/>
        </w:trPr>
        <w:tc>
          <w:tcPr>
            <w:tcW w:w="250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黑体" w:hAnsi="黑体" w:eastAsia="黑体" w:cs="黑体"/>
                <w:color w:val="000000"/>
                <w:szCs w:val="21"/>
              </w:rPr>
            </w:pPr>
          </w:p>
        </w:tc>
        <w:tc>
          <w:tcPr>
            <w:tcW w:w="7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黑体" w:hAnsi="黑体" w:eastAsia="黑体" w:cs="黑体"/>
                <w:color w:val="000000"/>
                <w:szCs w:val="21"/>
              </w:rPr>
            </w:pPr>
          </w:p>
        </w:tc>
        <w:tc>
          <w:tcPr>
            <w:tcW w:w="7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黑体" w:hAnsi="黑体" w:eastAsia="黑体" w:cs="黑体"/>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小计</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约谈</w:t>
            </w: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通报批评</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ascii="黑体" w:hAnsi="黑体" w:eastAsia="黑体" w:cs="黑体"/>
                <w:color w:val="000000"/>
                <w:szCs w:val="21"/>
              </w:rPr>
              <w:t>限期整改</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ascii="黑体" w:hAnsi="黑体" w:eastAsia="黑体" w:cs="黑体"/>
                <w:color w:val="000000"/>
                <w:szCs w:val="21"/>
              </w:rPr>
              <w:t>移交线索（条）</w:t>
            </w: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ascii="黑体" w:hAnsi="黑体" w:eastAsia="黑体" w:cs="黑体"/>
                <w:color w:val="000000"/>
                <w:szCs w:val="21"/>
              </w:rPr>
              <w:t>追回资金</w:t>
            </w: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ascii="黑体" w:hAnsi="黑体" w:eastAsia="黑体" w:cs="黑体"/>
                <w:color w:val="000000"/>
                <w:szCs w:val="21"/>
              </w:rPr>
              <w:t>行政罚款</w:t>
            </w: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ascii="黑体" w:hAnsi="黑体" w:eastAsia="黑体" w:cs="黑体"/>
                <w:color w:val="000000"/>
                <w:szCs w:val="21"/>
              </w:rPr>
              <w:t>其他</w:t>
            </w: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ascii="黑体" w:hAnsi="黑体" w:eastAsia="黑体" w:cs="黑体"/>
                <w:color w:val="000000"/>
                <w:szCs w:val="21"/>
              </w:rPr>
              <w:t>小计</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主动清</w:t>
            </w:r>
          </w:p>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退基金</w:t>
            </w:r>
          </w:p>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（万元）</w:t>
            </w:r>
          </w:p>
        </w:tc>
        <w:tc>
          <w:tcPr>
            <w:tcW w:w="95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追回</w:t>
            </w:r>
          </w:p>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基金</w:t>
            </w:r>
          </w:p>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（万元）</w:t>
            </w:r>
          </w:p>
        </w:tc>
        <w:tc>
          <w:tcPr>
            <w:tcW w:w="878" w:type="dxa"/>
            <w:tcBorders>
              <w:top w:val="single" w:color="000000" w:sz="4" w:space="0"/>
              <w:left w:val="single" w:color="auto" w:sz="4" w:space="0"/>
              <w:right w:val="single" w:color="auto"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行政</w:t>
            </w:r>
          </w:p>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罚款</w:t>
            </w:r>
          </w:p>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（万元）</w:t>
            </w:r>
          </w:p>
        </w:tc>
        <w:tc>
          <w:tcPr>
            <w:tcW w:w="673" w:type="dxa"/>
            <w:tcBorders>
              <w:top w:val="single" w:color="000000" w:sz="4" w:space="0"/>
              <w:left w:val="single" w:color="auto" w:sz="4" w:space="0"/>
              <w:right w:val="single" w:color="auto"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暂停执业（人）</w:t>
            </w:r>
          </w:p>
        </w:tc>
        <w:tc>
          <w:tcPr>
            <w:tcW w:w="817" w:type="dxa"/>
            <w:tcBorders>
              <w:top w:val="single" w:color="000000" w:sz="4" w:space="0"/>
              <w:left w:val="single" w:color="auto" w:sz="4" w:space="0"/>
              <w:right w:val="single" w:color="auto"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吊销执业证书（人）</w:t>
            </w:r>
          </w:p>
        </w:tc>
        <w:tc>
          <w:tcPr>
            <w:tcW w:w="725" w:type="dxa"/>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移送司法机关（人）</w:t>
            </w:r>
          </w:p>
        </w:tc>
        <w:tc>
          <w:tcPr>
            <w:tcW w:w="1133" w:type="dxa"/>
            <w:vMerge w:val="continue"/>
            <w:tcBorders>
              <w:left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黑体" w:hAnsi="黑体" w:eastAsia="黑体" w:cs="黑体"/>
                <w:color w:val="000000"/>
                <w:szCs w:val="21"/>
              </w:rPr>
            </w:pPr>
          </w:p>
        </w:tc>
      </w:tr>
      <w:tr>
        <w:tblPrEx>
          <w:tblCellMar>
            <w:top w:w="0" w:type="dxa"/>
            <w:left w:w="0" w:type="dxa"/>
            <w:bottom w:w="0" w:type="dxa"/>
            <w:right w:w="0" w:type="dxa"/>
          </w:tblCellMar>
        </w:tblPrEx>
        <w:trPr>
          <w:trHeight w:val="291" w:hRule="atLeast"/>
          <w:jc w:val="center"/>
        </w:trPr>
        <w:tc>
          <w:tcPr>
            <w:tcW w:w="250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黑体" w:hAnsi="黑体" w:eastAsia="黑体" w:cs="黑体"/>
                <w:color w:val="000000"/>
                <w:szCs w:val="21"/>
              </w:rPr>
            </w:pP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w:t>
            </w: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2</w:t>
            </w: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3</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4</w:t>
            </w: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5</w:t>
            </w: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6</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7</w:t>
            </w: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8</w:t>
            </w: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9</w:t>
            </w: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10</w:t>
            </w: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11</w:t>
            </w: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12</w:t>
            </w: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13</w:t>
            </w: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14</w:t>
            </w: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15</w:t>
            </w: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16</w:t>
            </w: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17</w:t>
            </w: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18</w:t>
            </w:r>
          </w:p>
        </w:tc>
      </w:tr>
      <w:tr>
        <w:tblPrEx>
          <w:tblCellMar>
            <w:top w:w="0" w:type="dxa"/>
            <w:left w:w="0" w:type="dxa"/>
            <w:bottom w:w="0" w:type="dxa"/>
            <w:right w:w="0" w:type="dxa"/>
          </w:tblCellMar>
        </w:tblPrEx>
        <w:trPr>
          <w:trHeight w:val="291" w:hRule="atLeast"/>
          <w:jc w:val="center"/>
        </w:trPr>
        <w:tc>
          <w:tcPr>
            <w:tcW w:w="250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总计</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291" w:hRule="atLeast"/>
          <w:jc w:val="center"/>
        </w:trPr>
        <w:tc>
          <w:tcPr>
            <w:tcW w:w="70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医保</w:t>
            </w:r>
          </w:p>
          <w:p>
            <w:pPr>
              <w:widowControl/>
              <w:spacing w:line="220" w:lineRule="exact"/>
              <w:jc w:val="center"/>
              <w:textAlignment w:val="center"/>
              <w:rPr>
                <w:rFonts w:hint="eastAsia"/>
              </w:rPr>
            </w:pPr>
            <w:r>
              <w:rPr>
                <w:rFonts w:hint="eastAsia" w:ascii="仿宋_GB2312" w:hAnsi="仿宋_GB2312" w:eastAsia="仿宋_GB2312" w:cs="仿宋_GB2312"/>
                <w:color w:val="000000"/>
                <w:szCs w:val="21"/>
              </w:rPr>
              <w:t>定点</w:t>
            </w:r>
          </w:p>
          <w:p>
            <w:pPr>
              <w:widowControl/>
              <w:spacing w:line="22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医疗</w:t>
            </w:r>
          </w:p>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机构</w:t>
            </w:r>
          </w:p>
        </w:tc>
        <w:tc>
          <w:tcPr>
            <w:tcW w:w="18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合计</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291"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18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小计</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291"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公立</w:t>
            </w:r>
          </w:p>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医院</w:t>
            </w: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三级</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291"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二级</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337"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一级及以下</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291"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180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小计</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291"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民营</w:t>
            </w:r>
          </w:p>
          <w:p>
            <w:pPr>
              <w:widowControl/>
              <w:spacing w:line="220" w:lineRule="exact"/>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医院</w:t>
            </w: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三级</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291"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二级</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439" w:hRule="atLeast"/>
          <w:jc w:val="center"/>
        </w:trPr>
        <w:tc>
          <w:tcPr>
            <w:tcW w:w="70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c>
          <w:tcPr>
            <w:tcW w:w="12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一级及以下</w:t>
            </w:r>
          </w:p>
        </w:tc>
        <w:tc>
          <w:tcPr>
            <w:tcW w:w="7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5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9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6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7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仿宋_GB2312" w:hAnsi="仿宋_GB2312" w:eastAsia="仿宋_GB2312" w:cs="仿宋_GB2312"/>
                <w:color w:val="000000"/>
                <w:szCs w:val="21"/>
              </w:rPr>
            </w:pPr>
          </w:p>
        </w:tc>
        <w:tc>
          <w:tcPr>
            <w:tcW w:w="11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仿宋_GB2312" w:hAnsi="仿宋_GB2312" w:eastAsia="仿宋_GB2312" w:cs="仿宋_GB2312"/>
                <w:color w:val="000000"/>
                <w:szCs w:val="21"/>
              </w:rPr>
            </w:pPr>
          </w:p>
        </w:tc>
      </w:tr>
    </w:tbl>
    <w:p>
      <w:pPr>
        <w:rPr>
          <w:rFonts w:hint="eastAsia"/>
        </w:rPr>
      </w:pPr>
      <w:r>
        <w:rPr>
          <w:rFonts w:hint="eastAsia"/>
        </w:rPr>
        <w:t>单位负责人：                                                    填表人：                        联系方式：</w:t>
      </w:r>
    </w:p>
    <w:p>
      <w:pPr>
        <w:rPr>
          <w:rFonts w:hint="eastAsia"/>
        </w:rPr>
      </w:pPr>
      <w:r>
        <w:rPr>
          <w:rFonts w:hint="eastAsia"/>
        </w:rPr>
        <w:t>注：1.“填报单位”为市级卫生健康行政部门。</w:t>
      </w:r>
    </w:p>
    <w:p>
      <w:pPr>
        <w:rPr>
          <w:rFonts w:hint="eastAsia"/>
        </w:rPr>
      </w:pPr>
      <w:r>
        <w:rPr>
          <w:rFonts w:hint="eastAsia"/>
        </w:rPr>
        <w:t xml:space="preserve">    2.统筹区内定点医药机构家数指与医保经办机构签订医保服务协议的医药机构家数。</w:t>
      </w:r>
    </w:p>
    <w:p>
      <w:pPr>
        <w:rPr>
          <w:rFonts w:hint="eastAsia"/>
        </w:rPr>
      </w:pPr>
      <w:r>
        <w:rPr>
          <w:rFonts w:hint="eastAsia"/>
        </w:rPr>
        <w:t xml:space="preserve">    3.本表报2021年1月-12月专项整治工作期间的累计数据。</w:t>
      </w:r>
    </w:p>
    <w:p>
      <w:pPr>
        <w:pStyle w:val="3"/>
        <w:spacing w:line="700" w:lineRule="exact"/>
        <w:ind w:left="0" w:firstLine="0"/>
        <w:jc w:val="center"/>
        <w:rPr>
          <w:rFonts w:hint="eastAsia"/>
          <w:sz w:val="44"/>
          <w:szCs w:val="44"/>
        </w:rPr>
      </w:pPr>
      <w:r>
        <w:rPr>
          <w:rFonts w:hint="eastAsia" w:ascii="方正小标宋简体" w:hAnsi="方正小标宋简体" w:eastAsia="方正小标宋简体" w:cs="方正小标宋简体"/>
          <w:b w:val="0"/>
          <w:bCs/>
          <w:sz w:val="44"/>
          <w:szCs w:val="44"/>
        </w:rPr>
        <w:br w:type="page"/>
      </w:r>
      <w:r>
        <w:rPr>
          <w:rFonts w:hint="eastAsia" w:ascii="方正小标宋简体" w:hAnsi="方正小标宋简体" w:eastAsia="方正小标宋简体" w:cs="方正小标宋简体"/>
          <w:b w:val="0"/>
          <w:bCs/>
          <w:sz w:val="44"/>
          <w:szCs w:val="44"/>
        </w:rPr>
        <w:t>2021年深入整治医疗领域腐败和作风问题工作情况统计表（三）</w:t>
      </w:r>
    </w:p>
    <w:p>
      <w:pPr>
        <w:rPr>
          <w:rFonts w:hint="eastAsia" w:ascii="仿宋_GB2312" w:eastAsia="仿宋_GB2312"/>
        </w:rPr>
      </w:pPr>
      <w:r>
        <w:rPr>
          <w:rFonts w:hint="eastAsia" w:ascii="仿宋_GB2312" w:eastAsia="仿宋_GB2312"/>
        </w:rPr>
        <w:t>填报单位：                                                                                                填报时间：2021年  月  日</w:t>
      </w:r>
    </w:p>
    <w:tbl>
      <w:tblPr>
        <w:tblStyle w:val="5"/>
        <w:tblW w:w="0" w:type="auto"/>
        <w:jc w:val="center"/>
        <w:tblLayout w:type="fixed"/>
        <w:tblCellMar>
          <w:top w:w="0" w:type="dxa"/>
          <w:left w:w="0" w:type="dxa"/>
          <w:bottom w:w="0" w:type="dxa"/>
          <w:right w:w="0" w:type="dxa"/>
        </w:tblCellMar>
      </w:tblPr>
      <w:tblGrid>
        <w:gridCol w:w="920"/>
        <w:gridCol w:w="800"/>
        <w:gridCol w:w="1261"/>
        <w:gridCol w:w="660"/>
        <w:gridCol w:w="660"/>
        <w:gridCol w:w="697"/>
        <w:gridCol w:w="1028"/>
        <w:gridCol w:w="660"/>
        <w:gridCol w:w="709"/>
        <w:gridCol w:w="709"/>
        <w:gridCol w:w="660"/>
        <w:gridCol w:w="660"/>
        <w:gridCol w:w="868"/>
        <w:gridCol w:w="786"/>
        <w:gridCol w:w="660"/>
        <w:gridCol w:w="1275"/>
        <w:gridCol w:w="1599"/>
      </w:tblGrid>
      <w:tr>
        <w:tblPrEx>
          <w:tblCellMar>
            <w:top w:w="0" w:type="dxa"/>
            <w:left w:w="0" w:type="dxa"/>
            <w:bottom w:w="0" w:type="dxa"/>
            <w:right w:w="0" w:type="dxa"/>
          </w:tblCellMar>
        </w:tblPrEx>
        <w:trPr>
          <w:trHeight w:val="775" w:hRule="atLeast"/>
          <w:jc w:val="center"/>
        </w:trPr>
        <w:tc>
          <w:tcPr>
            <w:tcW w:w="2981"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黑体" w:hAnsi="黑体" w:eastAsia="黑体" w:cs="黑体"/>
                <w:color w:val="000000"/>
                <w:szCs w:val="21"/>
              </w:rPr>
            </w:pPr>
            <w:r>
              <w:rPr>
                <w:rFonts w:hint="eastAsia" w:ascii="黑体" w:hAnsi="黑体" w:eastAsia="黑体" w:cs="黑体"/>
                <w:color w:val="000000"/>
                <w:szCs w:val="21"/>
              </w:rPr>
              <w:t>项目</w:t>
            </w:r>
          </w:p>
        </w:tc>
        <w:tc>
          <w:tcPr>
            <w:tcW w:w="660"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警示教</w:t>
            </w:r>
          </w:p>
          <w:p>
            <w:pPr>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育活动</w:t>
            </w:r>
          </w:p>
          <w:p>
            <w:pPr>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（次）</w:t>
            </w:r>
          </w:p>
        </w:tc>
        <w:tc>
          <w:tcPr>
            <w:tcW w:w="1357"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培训班</w:t>
            </w:r>
          </w:p>
        </w:tc>
        <w:tc>
          <w:tcPr>
            <w:tcW w:w="1028"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编制警示</w:t>
            </w:r>
          </w:p>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教育案例</w:t>
            </w:r>
          </w:p>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（个）</w:t>
            </w:r>
          </w:p>
        </w:tc>
        <w:tc>
          <w:tcPr>
            <w:tcW w:w="66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核查</w:t>
            </w:r>
          </w:p>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线索</w:t>
            </w:r>
          </w:p>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（条）</w:t>
            </w:r>
          </w:p>
        </w:tc>
        <w:tc>
          <w:tcPr>
            <w:tcW w:w="70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主动交</w:t>
            </w:r>
          </w:p>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待问题</w:t>
            </w:r>
          </w:p>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（人）</w:t>
            </w:r>
          </w:p>
        </w:tc>
        <w:tc>
          <w:tcPr>
            <w:tcW w:w="709" w:type="dxa"/>
            <w:vMerge w:val="restart"/>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约谈供</w:t>
            </w:r>
          </w:p>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应商</w:t>
            </w:r>
          </w:p>
          <w:p>
            <w:pPr>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(家、次</w:t>
            </w:r>
            <w:r>
              <w:rPr>
                <w:rFonts w:hint="eastAsia"/>
              </w:rPr>
              <w:t>）</w:t>
            </w:r>
          </w:p>
        </w:tc>
        <w:tc>
          <w:tcPr>
            <w:tcW w:w="2188" w:type="dxa"/>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rPr>
                <w:rFonts w:ascii="黑体" w:hAnsi="黑体" w:eastAsia="黑体" w:cs="黑体"/>
                <w:color w:val="000000"/>
                <w:szCs w:val="21"/>
              </w:rPr>
            </w:pPr>
            <w:r>
              <w:rPr>
                <w:rFonts w:hint="eastAsia" w:ascii="黑体" w:hAnsi="黑体" w:eastAsia="黑体" w:cs="黑体"/>
                <w:color w:val="000000"/>
                <w:szCs w:val="21"/>
              </w:rPr>
              <w:t>查处收受回扣案件</w:t>
            </w:r>
          </w:p>
        </w:tc>
        <w:tc>
          <w:tcPr>
            <w:tcW w:w="272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rPr>
                <w:rFonts w:hint="eastAsia" w:ascii="黑体" w:hAnsi="黑体" w:eastAsia="黑体" w:cs="黑体"/>
                <w:color w:val="000000"/>
                <w:szCs w:val="21"/>
              </w:rPr>
            </w:pPr>
            <w:r>
              <w:rPr>
                <w:rFonts w:ascii="黑体" w:hAnsi="黑体" w:eastAsia="黑体" w:cs="黑体"/>
                <w:color w:val="000000"/>
                <w:szCs w:val="21"/>
              </w:rPr>
              <w:t>查处收受患者家属红包礼金</w:t>
            </w:r>
          </w:p>
          <w:p>
            <w:pPr>
              <w:widowControl/>
              <w:spacing w:line="220" w:lineRule="exact"/>
              <w:jc w:val="center"/>
              <w:rPr>
                <w:rFonts w:ascii="黑体" w:hAnsi="黑体" w:eastAsia="黑体" w:cs="黑体"/>
                <w:color w:val="000000"/>
                <w:szCs w:val="21"/>
              </w:rPr>
            </w:pPr>
            <w:r>
              <w:rPr>
                <w:rFonts w:ascii="黑体" w:hAnsi="黑体" w:eastAsia="黑体" w:cs="黑体"/>
                <w:color w:val="000000"/>
                <w:szCs w:val="21"/>
              </w:rPr>
              <w:t>或其他不正当利益等案件</w:t>
            </w:r>
          </w:p>
        </w:tc>
        <w:tc>
          <w:tcPr>
            <w:tcW w:w="1599" w:type="dxa"/>
            <w:vMerge w:val="restart"/>
            <w:tcBorders>
              <w:top w:val="single" w:color="000000" w:sz="4" w:space="0"/>
              <w:left w:val="single" w:color="000000" w:sz="4" w:space="0"/>
              <w:right w:val="single" w:color="000000" w:sz="4" w:space="0"/>
            </w:tcBorders>
            <w:noWrap w:val="0"/>
            <w:vAlign w:val="center"/>
          </w:tcPr>
          <w:p>
            <w:pPr>
              <w:widowControl/>
              <w:spacing w:line="220" w:lineRule="exact"/>
              <w:jc w:val="center"/>
              <w:rPr>
                <w:rFonts w:ascii="黑体" w:hAnsi="黑体" w:eastAsia="黑体" w:cs="黑体"/>
                <w:color w:val="000000"/>
                <w:szCs w:val="21"/>
              </w:rPr>
            </w:pPr>
            <w:r>
              <w:rPr>
                <w:rFonts w:ascii="黑体" w:hAnsi="黑体" w:eastAsia="黑体" w:cs="黑体"/>
                <w:color w:val="000000"/>
                <w:szCs w:val="21"/>
              </w:rPr>
              <w:t>备注</w:t>
            </w:r>
          </w:p>
        </w:tc>
      </w:tr>
      <w:tr>
        <w:tblPrEx>
          <w:tblCellMar>
            <w:top w:w="0" w:type="dxa"/>
            <w:left w:w="0" w:type="dxa"/>
            <w:bottom w:w="0" w:type="dxa"/>
            <w:right w:w="0" w:type="dxa"/>
          </w:tblCellMar>
        </w:tblPrEx>
        <w:trPr>
          <w:trHeight w:val="566" w:hRule="atLeast"/>
          <w:jc w:val="center"/>
        </w:trPr>
        <w:tc>
          <w:tcPr>
            <w:tcW w:w="2981"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ind w:firstLine="1470" w:firstLineChars="700"/>
              <w:jc w:val="center"/>
              <w:rPr>
                <w:rFonts w:hint="eastAsia" w:ascii="黑体" w:hAnsi="黑体" w:eastAsia="黑体" w:cs="黑体"/>
                <w:color w:val="000000"/>
                <w:szCs w:val="21"/>
              </w:rPr>
            </w:pPr>
          </w:p>
        </w:tc>
        <w:tc>
          <w:tcPr>
            <w:tcW w:w="6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hint="eastAsia" w:ascii="黑体" w:hAnsi="黑体" w:eastAsia="黑体" w:cs="黑体"/>
                <w:color w:val="000000"/>
                <w:szCs w:val="21"/>
              </w:rPr>
            </w:pPr>
          </w:p>
        </w:tc>
        <w:tc>
          <w:tcPr>
            <w:tcW w:w="660" w:type="dxa"/>
            <w:tcBorders>
              <w:left w:val="single" w:color="000000" w:sz="4" w:space="0"/>
              <w:bottom w:val="single" w:color="000000" w:sz="4" w:space="0"/>
              <w:right w:val="single" w:color="auto" w:sz="4" w:space="0"/>
            </w:tcBorders>
            <w:noWrap w:val="0"/>
            <w:tcMar>
              <w:top w:w="15" w:type="dxa"/>
              <w:left w:w="15" w:type="dxa"/>
              <w:right w:w="15" w:type="dxa"/>
            </w:tcMar>
            <w:vAlign w:val="center"/>
          </w:tcPr>
          <w:p>
            <w:pPr>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（次）</w:t>
            </w:r>
          </w:p>
        </w:tc>
        <w:tc>
          <w:tcPr>
            <w:tcW w:w="6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（人）</w:t>
            </w:r>
          </w:p>
        </w:tc>
        <w:tc>
          <w:tcPr>
            <w:tcW w:w="1028"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hint="eastAsia" w:ascii="黑体" w:hAnsi="黑体" w:eastAsia="黑体" w:cs="黑体"/>
                <w:color w:val="000000"/>
                <w:szCs w:val="21"/>
              </w:rPr>
            </w:pPr>
          </w:p>
        </w:tc>
        <w:tc>
          <w:tcPr>
            <w:tcW w:w="66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hint="eastAsia" w:ascii="黑体" w:hAnsi="黑体" w:eastAsia="黑体" w:cs="黑体"/>
                <w:color w:val="000000"/>
                <w:szCs w:val="21"/>
              </w:rPr>
            </w:pPr>
          </w:p>
        </w:tc>
        <w:tc>
          <w:tcPr>
            <w:tcW w:w="70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hint="eastAsia" w:ascii="黑体" w:hAnsi="黑体" w:eastAsia="黑体" w:cs="黑体"/>
                <w:color w:val="000000"/>
                <w:szCs w:val="21"/>
              </w:rPr>
            </w:pPr>
          </w:p>
        </w:tc>
        <w:tc>
          <w:tcPr>
            <w:tcW w:w="70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hint="eastAsia" w:ascii="黑体" w:hAnsi="黑体" w:eastAsia="黑体" w:cs="黑体"/>
                <w:color w:val="000000"/>
                <w:szCs w:val="21"/>
              </w:rPr>
            </w:pPr>
          </w:p>
        </w:tc>
        <w:tc>
          <w:tcPr>
            <w:tcW w:w="66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（起）</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（人）</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涉案</w:t>
            </w:r>
          </w:p>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金额</w:t>
            </w:r>
          </w:p>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（万元）</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（起）</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（人）</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涉案金额</w:t>
            </w:r>
          </w:p>
          <w:p>
            <w:pPr>
              <w:widowControl/>
              <w:spacing w:line="220" w:lineRule="exact"/>
              <w:jc w:val="center"/>
              <w:rPr>
                <w:rFonts w:hint="eastAsia" w:ascii="黑体" w:hAnsi="黑体" w:eastAsia="黑体" w:cs="黑体"/>
                <w:color w:val="000000"/>
                <w:szCs w:val="21"/>
              </w:rPr>
            </w:pPr>
            <w:r>
              <w:rPr>
                <w:rFonts w:hint="eastAsia" w:ascii="黑体" w:hAnsi="黑体" w:eastAsia="黑体" w:cs="黑体"/>
                <w:color w:val="000000"/>
                <w:szCs w:val="21"/>
              </w:rPr>
              <w:t>（万元）</w:t>
            </w:r>
          </w:p>
        </w:tc>
        <w:tc>
          <w:tcPr>
            <w:tcW w:w="1599" w:type="dxa"/>
            <w:vMerge w:val="continue"/>
            <w:tcBorders>
              <w:left w:val="single" w:color="000000" w:sz="4" w:space="0"/>
              <w:bottom w:val="single" w:color="000000" w:sz="4" w:space="0"/>
              <w:right w:val="single" w:color="000000" w:sz="4" w:space="0"/>
            </w:tcBorders>
            <w:noWrap w:val="0"/>
            <w:vAlign w:val="center"/>
          </w:tcPr>
          <w:p>
            <w:pPr>
              <w:widowControl/>
              <w:spacing w:line="220" w:lineRule="exact"/>
              <w:jc w:val="center"/>
              <w:rPr>
                <w:rFonts w:hint="eastAsia" w:ascii="黑体" w:hAnsi="黑体" w:eastAsia="黑体" w:cs="黑体"/>
                <w:color w:val="000000"/>
                <w:szCs w:val="21"/>
              </w:rPr>
            </w:pPr>
          </w:p>
        </w:tc>
      </w:tr>
      <w:tr>
        <w:tblPrEx>
          <w:tblCellMar>
            <w:top w:w="0" w:type="dxa"/>
            <w:left w:w="0" w:type="dxa"/>
            <w:bottom w:w="0" w:type="dxa"/>
            <w:right w:w="0" w:type="dxa"/>
          </w:tblCellMar>
        </w:tblPrEx>
        <w:trPr>
          <w:jc w:val="center"/>
        </w:trPr>
        <w:tc>
          <w:tcPr>
            <w:tcW w:w="2981"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20" w:lineRule="exact"/>
              <w:jc w:val="center"/>
              <w:rPr>
                <w:rFonts w:ascii="黑体" w:hAnsi="黑体" w:eastAsia="黑体" w:cs="黑体"/>
                <w:color w:val="000000"/>
                <w:szCs w:val="21"/>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1</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2</w:t>
            </w:r>
          </w:p>
        </w:tc>
        <w:tc>
          <w:tcPr>
            <w:tcW w:w="69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3</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4</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5</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6</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7</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8</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9</w:t>
            </w: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10</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11</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ascii="黑体" w:hAnsi="黑体" w:eastAsia="黑体" w:cs="黑体"/>
                <w:color w:val="000000"/>
                <w:szCs w:val="21"/>
              </w:rPr>
            </w:pPr>
            <w:r>
              <w:rPr>
                <w:rFonts w:hint="eastAsia" w:ascii="黑体" w:hAnsi="黑体" w:eastAsia="黑体" w:cs="黑体"/>
                <w:color w:val="000000"/>
                <w:szCs w:val="21"/>
              </w:rPr>
              <w:t>12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13</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20" w:lineRule="exact"/>
              <w:jc w:val="center"/>
              <w:textAlignment w:val="center"/>
              <w:rPr>
                <w:rFonts w:hint="eastAsia" w:ascii="黑体" w:hAnsi="黑体" w:eastAsia="黑体" w:cs="黑体"/>
                <w:color w:val="000000"/>
                <w:szCs w:val="21"/>
              </w:rPr>
            </w:pPr>
            <w:r>
              <w:rPr>
                <w:rFonts w:hint="eastAsia" w:ascii="黑体" w:hAnsi="黑体" w:eastAsia="黑体" w:cs="黑体"/>
                <w:color w:val="000000"/>
                <w:szCs w:val="21"/>
              </w:rPr>
              <w:t>14</w:t>
            </w:r>
          </w:p>
        </w:tc>
      </w:tr>
      <w:tr>
        <w:tblPrEx>
          <w:tblCellMar>
            <w:top w:w="0" w:type="dxa"/>
            <w:left w:w="0" w:type="dxa"/>
            <w:bottom w:w="0" w:type="dxa"/>
            <w:right w:w="0" w:type="dxa"/>
          </w:tblCellMar>
        </w:tblPrEx>
        <w:trPr>
          <w:jc w:val="center"/>
        </w:trPr>
        <w:tc>
          <w:tcPr>
            <w:tcW w:w="9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医疗</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机构</w:t>
            </w:r>
          </w:p>
        </w:tc>
        <w:tc>
          <w:tcPr>
            <w:tcW w:w="206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合计</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r>
      <w:tr>
        <w:tblPrEx>
          <w:tblCellMar>
            <w:top w:w="0" w:type="dxa"/>
            <w:left w:w="0" w:type="dxa"/>
            <w:bottom w:w="0" w:type="dxa"/>
            <w:right w:w="0" w:type="dxa"/>
          </w:tblCellMar>
        </w:tblPrEx>
        <w:trPr>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06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小计</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r>
      <w:tr>
        <w:tblPrEx>
          <w:tblCellMar>
            <w:top w:w="0" w:type="dxa"/>
            <w:left w:w="0" w:type="dxa"/>
            <w:bottom w:w="0" w:type="dxa"/>
            <w:right w:w="0" w:type="dxa"/>
          </w:tblCellMar>
        </w:tblPrEx>
        <w:trPr>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8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公立</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医院</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三级</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r>
      <w:tr>
        <w:tblPrEx>
          <w:tblCellMar>
            <w:top w:w="0" w:type="dxa"/>
            <w:left w:w="0" w:type="dxa"/>
            <w:bottom w:w="0" w:type="dxa"/>
            <w:right w:w="0" w:type="dxa"/>
          </w:tblCellMar>
        </w:tblPrEx>
        <w:trPr>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二级</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r>
      <w:tr>
        <w:tblPrEx>
          <w:tblCellMar>
            <w:top w:w="0" w:type="dxa"/>
            <w:left w:w="0" w:type="dxa"/>
            <w:bottom w:w="0" w:type="dxa"/>
            <w:right w:w="0" w:type="dxa"/>
          </w:tblCellMar>
        </w:tblPrEx>
        <w:trPr>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一级及以下</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r>
      <w:tr>
        <w:tblPrEx>
          <w:tblCellMar>
            <w:top w:w="0" w:type="dxa"/>
            <w:left w:w="0" w:type="dxa"/>
            <w:bottom w:w="0" w:type="dxa"/>
            <w:right w:w="0" w:type="dxa"/>
          </w:tblCellMar>
        </w:tblPrEx>
        <w:trPr>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06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小计</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r>
      <w:tr>
        <w:tblPrEx>
          <w:tblCellMar>
            <w:top w:w="0" w:type="dxa"/>
            <w:left w:w="0" w:type="dxa"/>
            <w:bottom w:w="0" w:type="dxa"/>
            <w:right w:w="0" w:type="dxa"/>
          </w:tblCellMar>
        </w:tblPrEx>
        <w:trPr>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8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民营</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医院</w:t>
            </w: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三级</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r>
      <w:tr>
        <w:tblPrEx>
          <w:tblCellMar>
            <w:top w:w="0" w:type="dxa"/>
            <w:left w:w="0" w:type="dxa"/>
            <w:bottom w:w="0" w:type="dxa"/>
            <w:right w:w="0" w:type="dxa"/>
          </w:tblCellMar>
        </w:tblPrEx>
        <w:trPr>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二级</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r>
      <w:tr>
        <w:tblPrEx>
          <w:tblCellMar>
            <w:top w:w="0" w:type="dxa"/>
            <w:left w:w="0" w:type="dxa"/>
            <w:bottom w:w="0" w:type="dxa"/>
            <w:right w:w="0" w:type="dxa"/>
          </w:tblCellMar>
        </w:tblPrEx>
        <w:trPr>
          <w:jc w:val="center"/>
        </w:trPr>
        <w:tc>
          <w:tcPr>
            <w:tcW w:w="9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8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一级及以下</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8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right"/>
              <w:textAlignment w:val="center"/>
              <w:rPr>
                <w:rFonts w:ascii="仿宋_GB2312" w:hAnsi="仿宋_GB2312" w:eastAsia="仿宋_GB2312" w:cs="仿宋_GB2312"/>
                <w:color w:val="000000"/>
                <w:sz w:val="15"/>
                <w:szCs w:val="15"/>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right"/>
              <w:textAlignment w:val="center"/>
              <w:rPr>
                <w:rFonts w:ascii="仿宋_GB2312" w:hAnsi="仿宋_GB2312" w:eastAsia="仿宋_GB2312" w:cs="仿宋_GB2312"/>
                <w:color w:val="000000"/>
                <w:sz w:val="15"/>
                <w:szCs w:val="15"/>
              </w:rPr>
            </w:pPr>
          </w:p>
        </w:tc>
        <w:tc>
          <w:tcPr>
            <w:tcW w:w="1275"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c>
          <w:tcPr>
            <w:tcW w:w="1599" w:type="dxa"/>
            <w:tcBorders>
              <w:top w:val="single" w:color="000000" w:sz="4" w:space="0"/>
              <w:left w:val="single" w:color="000000" w:sz="4" w:space="0"/>
              <w:bottom w:val="single" w:color="000000" w:sz="4" w:space="0"/>
              <w:right w:val="single" w:color="000000" w:sz="4" w:space="0"/>
            </w:tcBorders>
            <w:noWrap w:val="0"/>
            <w:vAlign w:val="top"/>
          </w:tcPr>
          <w:p>
            <w:pPr>
              <w:widowControl/>
              <w:jc w:val="right"/>
              <w:textAlignment w:val="center"/>
              <w:rPr>
                <w:rFonts w:ascii="仿宋_GB2312" w:hAnsi="仿宋_GB2312" w:eastAsia="仿宋_GB2312" w:cs="仿宋_GB2312"/>
                <w:color w:val="000000"/>
                <w:sz w:val="15"/>
                <w:szCs w:val="15"/>
              </w:rPr>
            </w:pPr>
          </w:p>
        </w:tc>
      </w:tr>
    </w:tbl>
    <w:p>
      <w:pPr>
        <w:pStyle w:val="3"/>
        <w:rPr>
          <w:rFonts w:hint="eastAsia" w:ascii="仿宋_GB2312" w:hAnsi="仿宋_GB2312" w:eastAsia="仿宋_GB2312" w:cs="仿宋_GB2312"/>
          <w:color w:val="000000"/>
          <w:sz w:val="15"/>
          <w:szCs w:val="15"/>
        </w:rPr>
      </w:pPr>
      <w:r>
        <w:rPr>
          <w:rFonts w:hint="eastAsia" w:ascii="仿宋_GB2312" w:hAnsi="仿宋_GB2312" w:eastAsia="仿宋_GB2312" w:cs="仿宋_GB2312"/>
          <w:color w:val="000000"/>
          <w:sz w:val="15"/>
          <w:szCs w:val="15"/>
        </w:rPr>
        <w:t xml:space="preserve">单位负责人：                                                       填表人：                                                    联系方式：                   </w:t>
      </w:r>
    </w:p>
    <w:p>
      <w:pPr>
        <w:rPr>
          <w:rFonts w:hint="eastAsia" w:ascii="仿宋_GB2312" w:eastAsia="仿宋_GB2312"/>
        </w:rPr>
      </w:pPr>
    </w:p>
    <w:p>
      <w:pPr>
        <w:rPr>
          <w:rFonts w:hint="eastAsia" w:ascii="仿宋_GB2312" w:eastAsia="仿宋_GB2312"/>
        </w:rPr>
      </w:pPr>
      <w:r>
        <w:rPr>
          <w:rFonts w:hint="eastAsia" w:ascii="仿宋_GB2312" w:eastAsia="仿宋_GB2312"/>
        </w:rPr>
        <w:t>注：1.“填报单位”为市级卫生健康行政部门。</w:t>
      </w:r>
    </w:p>
    <w:p>
      <w:pPr>
        <w:rPr>
          <w:rFonts w:hint="eastAsia" w:ascii="仿宋_GB2312" w:eastAsia="仿宋_GB2312"/>
        </w:rPr>
      </w:pPr>
      <w:r>
        <w:rPr>
          <w:rFonts w:hint="eastAsia" w:ascii="仿宋_GB2312" w:eastAsia="仿宋_GB2312"/>
        </w:rPr>
        <w:t xml:space="preserve">    2.本表报2021年1月-12月专项整治工作期间的累计数据。</w:t>
      </w:r>
    </w:p>
    <w:p>
      <w:pPr>
        <w:pStyle w:val="3"/>
        <w:ind w:left="0" w:leftChars="0" w:firstLine="0" w:firstLineChars="0"/>
        <w:rPr>
          <w:rFonts w:hint="eastAsia"/>
        </w:rPr>
        <w:sectPr>
          <w:footerReference r:id="rId3" w:type="default"/>
          <w:pgSz w:w="16838" w:h="11906" w:orient="landscape"/>
          <w:pgMar w:top="1701" w:right="1417" w:bottom="1417" w:left="1417" w:header="851" w:footer="992" w:gutter="0"/>
          <w:pgNumType w:fmt="decimal"/>
          <w:cols w:space="720" w:num="1"/>
          <w:rtlGutter w:val="0"/>
          <w:docGrid w:type="lines" w:linePitch="325" w:charSpace="0"/>
        </w:sectPr>
      </w:pPr>
    </w:p>
    <w:p>
      <w:pPr>
        <w:rPr>
          <w:rFonts w:hint="eastAsia"/>
        </w:rPr>
      </w:pPr>
    </w:p>
    <w:p>
      <w:bookmarkStart w:id="0" w:name="_GoBack"/>
      <w:bookmarkEnd w:id="0"/>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r>
                            <w:rPr>
                              <w:rFonts w:hint="eastAsia" w:ascii="宋体" w:hAnsi="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cs="宋体"/>
                        <w:sz w:val="28"/>
                        <w:szCs w:val="28"/>
                        <w:lang w:eastAsia="zh-CN"/>
                      </w:rPr>
                      <w:t>—</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- 12 -</w:t>
                    </w:r>
                    <w:r>
                      <w:rPr>
                        <w:rFonts w:hint="eastAsia" w:ascii="宋体" w:hAnsi="宋体" w:cs="宋体"/>
                        <w:sz w:val="28"/>
                        <w:szCs w:val="28"/>
                      </w:rPr>
                      <w:fldChar w:fldCharType="end"/>
                    </w:r>
                    <w:r>
                      <w:rPr>
                        <w:rFonts w:hint="eastAsia" w:ascii="宋体" w:hAnsi="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A7D18"/>
    <w:rsid w:val="33EA7D18"/>
    <w:rsid w:val="70EB22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0"/>
    <w:pPr>
      <w:ind w:left="1600" w:hanging="400"/>
      <w:jc w:val="both"/>
      <w:outlineLvl w:val="5"/>
    </w:pPr>
    <w:rPr>
      <w:rFonts w:ascii="等线" w:eastAsia="等线" w:cs="Times New Roman"/>
      <w:b/>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 w:val="21"/>
      <w:szCs w:val="21"/>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11"/>
    <w:basedOn w:val="6"/>
    <w:qFormat/>
    <w:uiPriority w:val="0"/>
    <w:rPr>
      <w:rFonts w:hint="eastAsia" w:ascii="黑体" w:hAnsi="宋体" w:eastAsia="黑体" w:cs="黑体"/>
      <w:color w:val="000000"/>
      <w:sz w:val="24"/>
      <w:szCs w:val="24"/>
      <w:u w:val="none"/>
    </w:rPr>
  </w:style>
  <w:style w:type="character" w:customStyle="1" w:styleId="8">
    <w:name w:val="font51"/>
    <w:basedOn w:val="6"/>
    <w:qFormat/>
    <w:uiPriority w:val="0"/>
    <w:rPr>
      <w:rFonts w:hint="eastAsia" w:ascii="黑体" w:hAnsi="宋体" w:eastAsia="黑体" w:cs="黑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2021-06-22T01:46:00Z</dcterms:created>
  <dc:creator>小桂子捏</dc:creator>
  <cp:lastModifiedBy>小桂子捏</cp:lastModifiedBy>
  <dcterms:modified xsi:type="dcterms:W3CDTF">2021-06-22T08:21:23Z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EE7D0B5972F54E3693CF8D563374EA8D</vt:lpwstr>
  </property>
</Properties>
</file>