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3471">
      <w:pPr>
        <w:spacing w:line="360" w:lineRule="auto"/>
        <w:ind w:firstLine="883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采购需求</w:t>
      </w:r>
    </w:p>
    <w:p w14:paraId="4ACA4D42">
      <w:pPr>
        <w:spacing w:line="360" w:lineRule="auto"/>
        <w:ind w:firstLine="602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（医院空港院区、田阳院区经济责任审计采购项目）</w:t>
      </w:r>
    </w:p>
    <w:p w14:paraId="4A17FA69">
      <w:pPr>
        <w:pStyle w:val="2"/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一、审计对象、期间以及收入资产规模</w:t>
      </w:r>
    </w:p>
    <w:p w14:paraId="3AD27886">
      <w:pPr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（一）审计对象：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医院所属空港院区、田阳院区原负责人经济责任履行情况</w:t>
      </w:r>
    </w:p>
    <w:p w14:paraId="77DAA20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（二）审计期间：空港院区原负责人任期：2017年5月至2025年4月；田阳院区原负责人任期：2015年12月至2025年4月。</w:t>
      </w:r>
    </w:p>
    <w:p w14:paraId="21245399">
      <w:pPr>
        <w:numPr>
          <w:ilvl w:val="0"/>
          <w:numId w:val="0"/>
        </w:numPr>
        <w:spacing w:line="360" w:lineRule="auto"/>
        <w:ind w:left="420" w:leftChars="0" w:firstLine="300" w:firstLineChars="1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（三）收入资产规模（田阳院区及空港院区收入、资产规模具体数值报名后获取）</w:t>
      </w:r>
      <w:bookmarkStart w:id="0" w:name="_GoBack"/>
      <w:bookmarkEnd w:id="0"/>
    </w:p>
    <w:p w14:paraId="3FF5F06B">
      <w:pPr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二、审计内容：</w:t>
      </w:r>
    </w:p>
    <w:p w14:paraId="0F8BC5C5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（一）政策执行与履职情况：执行国家财经、医保、价格、药品耗材、政府采购等政策情况；落实公立医院改革、预算绩效管理、政府过紧日子要求情况。</w:t>
      </w:r>
    </w:p>
    <w:p w14:paraId="0AFDBA23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（二）重大经济决策：基建工程、大型设备购置、对外合作、对外投资、借款担保、资产处置等决策程序、合规性与效益；“三重一大”决策制度执行，会议纪要、立项、审批、招标、合同、资金支付闭环核查。</w:t>
      </w:r>
    </w:p>
    <w:p w14:paraId="431B9388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财务收支与预算管理：预算编制、执行、决算真实完整合规；医疗收入、财政补助、科研经费、其他收入应缴尽缴、全额入账，无账外账、“小金库”；支出合规，无虚列支出、套取资金、违规发放津补贴、超标准开支。</w:t>
      </w:r>
    </w:p>
    <w:p w14:paraId="5DA84076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（四）国有资产管理：资产购置、入账、折旧、处置、盘点规范，账实相符；房产、土地、车辆、大型设备、对外投资等管理与收益情况。</w:t>
      </w:r>
    </w:p>
    <w:p w14:paraId="6A8E0A4F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（五）药耗设备与采购管理：药品、耗材、设备采购流程合规，阳光采购、合同履约、付款、库存管理；有无违规采购、商业贿赂风险、利益输送问题。</w:t>
      </w:r>
    </w:p>
    <w:p w14:paraId="285A90D6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（六）基建与工程项目：立项、可研、概算、招标、施工、签证变更、结算、资金支付全过程审计；严查高估冒算、违规签证、超概算、超工期。</w:t>
      </w:r>
    </w:p>
    <w:p w14:paraId="01ADF32A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（七）医保基金与收费管理：医疗收费合规，有分解收费、重复收费、超标准收费。医保结算真实，无欺诈骗保、违规串换项目。</w:t>
      </w:r>
    </w:p>
    <w:p w14:paraId="67CAB639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（八）内部控制与风险管理：财务、采购、资产、基建、人事、信息系统内控健全性与执行有效性。</w:t>
      </w:r>
    </w:p>
    <w:p w14:paraId="55B418E8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（九）风险识别、问题整改、追责问责落实情况；</w:t>
      </w:r>
    </w:p>
    <w:p w14:paraId="6DC37223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（十）以往审计、巡视、纪检、财政监督发现问题的整改情况。</w:t>
      </w:r>
    </w:p>
    <w:p w14:paraId="022B634C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（十一）医院要求纳入的其他专项事项。</w:t>
      </w:r>
    </w:p>
    <w:p w14:paraId="66982B88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三、审计工作要求</w:t>
      </w:r>
    </w:p>
    <w:p w14:paraId="4D09B8C6">
      <w:pPr>
        <w:spacing w:line="360" w:lineRule="auto"/>
        <w:ind w:firstLine="42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（一）成立专项审计组，驻场开展工作，服从医院统一协调。</w:t>
      </w:r>
    </w:p>
    <w:p w14:paraId="28E386B4">
      <w:pPr>
        <w:spacing w:line="360" w:lineRule="auto"/>
        <w:ind w:firstLine="42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（二）严格保密，不得泄露涉密资料、患者信息、人事及纪检信息。</w:t>
      </w:r>
    </w:p>
    <w:p w14:paraId="4B48497A">
      <w:pPr>
        <w:spacing w:line="360" w:lineRule="auto"/>
        <w:ind w:firstLine="42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（三）定期沟通，重大问题及时汇报，初稿征求意见后出具终稿。</w:t>
      </w:r>
    </w:p>
    <w:p w14:paraId="4D1CBE5D">
      <w:pPr>
        <w:spacing w:line="360" w:lineRule="auto"/>
        <w:ind w:firstLine="42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（四）配合医院复核、质询及整改督导。</w:t>
      </w:r>
    </w:p>
    <w:p w14:paraId="42FF3609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四、实施方案要求</w:t>
      </w:r>
    </w:p>
    <w:p w14:paraId="68E91B77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中标人须在进场前提交经济责任审计实施方案，内容包括：审计目标、审计范围、审计内容、审计重点、审计程序、人员配置、时间安排、质量控制、工作成果、沟通机制等，经采购人审核通过后方可实施。</w:t>
      </w:r>
    </w:p>
    <w:p w14:paraId="3C1AA408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五、成果提交要求</w:t>
      </w:r>
    </w:p>
    <w:p w14:paraId="756BC8C4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（一）按要求分别出具空港院区经济责任审计报告、田阳院区经济责任审计报告。</w:t>
      </w:r>
    </w:p>
    <w:p w14:paraId="28965ED6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（二）报告内容包括：基本情况、审计依据、审计范围、履职评价、审计发现、问题定性、整改建议、审计结论等。</w:t>
      </w:r>
    </w:p>
    <w:p w14:paraId="36D37E8E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（三）提供纸质版（签章齐全）及电子版文档，按采购人指定份数、时间、格式提交。</w:t>
      </w:r>
    </w:p>
    <w:p w14:paraId="217C8ECB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 若因上级检查、整改、政策调整需补充、修改、完善报告，中标人须无条件配合完成。</w:t>
      </w:r>
    </w:p>
    <w:p w14:paraId="641689F8">
      <w:pPr>
        <w:pStyle w:val="2"/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六、服务时限</w:t>
      </w:r>
    </w:p>
    <w:p w14:paraId="7B1FFAE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自合同签订之日起40日内，成交人须完成全部审计工作，并按规定格式和要求出具正式审计成果及审计报告。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成交人自正式审计报告出具当日起计180日内，持续提供业务答疑、问题解释、协助对接、配合主管部门核查等相关后续配套工作。</w:t>
      </w:r>
    </w:p>
    <w:p w14:paraId="38A13203">
      <w:pPr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七、其他要求</w:t>
      </w:r>
    </w:p>
    <w:p w14:paraId="611328DD">
      <w:pPr>
        <w:numPr>
          <w:ilvl w:val="0"/>
          <w:numId w:val="0"/>
        </w:numPr>
        <w:spacing w:line="360" w:lineRule="auto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 xml:space="preserve">  （一）本次审计服务涉及南宁市外现场工作，报价为总价包干，包含审计服务费、人员薪酬、城市间交通、驻地食宿、现场办公、耗材、差旅补贴等所有相关费用，采购人不再承担任何形式的额外支出。</w:t>
      </w:r>
    </w:p>
    <w:p w14:paraId="44E18F2A">
      <w:pPr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（二） 本项目所有审计成果知识产权归采购人所有。</w:t>
      </w:r>
    </w:p>
    <w:p w14:paraId="2438F818">
      <w:pPr>
        <w:numPr>
          <w:ilvl w:val="0"/>
          <w:numId w:val="0"/>
        </w:numPr>
        <w:spacing w:line="360" w:lineRule="auto"/>
        <w:ind w:firstLine="300" w:firstLineChars="1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A21BF3D-7F67-4280-BE65-7090D4091E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440F"/>
    <w:rsid w:val="0F62660F"/>
    <w:rsid w:val="19792D0C"/>
    <w:rsid w:val="1F0611D0"/>
    <w:rsid w:val="1FDB4CA6"/>
    <w:rsid w:val="235F418A"/>
    <w:rsid w:val="25950C86"/>
    <w:rsid w:val="2BBD3479"/>
    <w:rsid w:val="2C2A561B"/>
    <w:rsid w:val="410A19BD"/>
    <w:rsid w:val="46FC0C77"/>
    <w:rsid w:val="49E74A31"/>
    <w:rsid w:val="567165CD"/>
    <w:rsid w:val="6ABB336D"/>
    <w:rsid w:val="6B5F2837"/>
    <w:rsid w:val="7B72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1406</Words>
  <Characters>1422</Characters>
  <Lines>0</Lines>
  <Paragraphs>0</Paragraphs>
  <TotalTime>29</TotalTime>
  <ScaleCrop>false</ScaleCrop>
  <LinksUpToDate>false</LinksUpToDate>
  <CharactersWithSpaces>1431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2026-03-11T00:10:00Z</dcterms:created>
  <dc:creator>Administrator</dc:creator>
  <cp:lastModifiedBy>珊珊</cp:lastModifiedBy>
  <cp:lastPrinted>2026-03-30T05:11:00Z</cp:lastPrinted>
  <dcterms:modified xsi:type="dcterms:W3CDTF">2026-04-10T04:49:11Z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eyJoZGlkIjoiNzUwMDdhNzdlMmJjNzIyZTE1MmY0YTJhOGMzNGI5OTYiLCJ1c2VySWQiOiIxMDI5MjU3ODU1In0=</vt:lpwstr>
  </property>
  <property fmtid="{D5CDD505-2E9C-101B-9397-08002B2CF9AE}" pid="4" name="ICV">
    <vt:lpwstr>65AE3562C4E44218993D1DFBEDA5D282_12</vt:lpwstr>
  </property>
</Properties>
</file>