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2FACC">
      <w:pPr>
        <w:jc w:val="center"/>
        <w:rPr>
          <w:rFonts w:hint="eastAsia" w:ascii="方正仿宋_GB2312" w:hAnsi="方正仿宋_GB2312" w:eastAsia="方正仿宋_GB2312" w:cs="方正仿宋_GB2312"/>
          <w:b/>
          <w:bCs/>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lang w:val="en-US" w:eastAsia="zh-CN"/>
          <w14:textFill>
            <w14:solidFill>
              <w14:schemeClr w14:val="tx1"/>
            </w14:solidFill>
          </w14:textFill>
        </w:rPr>
        <w:t>采购需求</w:t>
      </w:r>
    </w:p>
    <w:p w14:paraId="10D9A072">
      <w:pPr>
        <w:keepNext w:val="0"/>
        <w:keepLines w:val="0"/>
        <w:widowControl/>
        <w:suppressLineNumbers w:val="0"/>
        <w:spacing w:line="360" w:lineRule="auto"/>
        <w:ind w:firstLine="602" w:firstLineChars="200"/>
        <w:jc w:val="both"/>
        <w:rPr>
          <w:rFonts w:hint="default" w:ascii="方正仿宋_GB2312" w:hAnsi="方正仿宋_GB2312" w:eastAsia="方正仿宋_GB2312" w:cs="方正仿宋_GB2312"/>
          <w:b/>
          <w:bCs/>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0"/>
          <w:szCs w:val="30"/>
          <w:highlight w:val="none"/>
          <w:lang w:val="en-US" w:eastAsia="zh-CN" w:bidi="ar"/>
          <w14:textFill>
            <w14:solidFill>
              <w14:schemeClr w14:val="tx1"/>
            </w14:solidFill>
          </w14:textFill>
        </w:rPr>
        <w:t>一、项目名称：内部控制评价、风险评估及专项审计服务项目</w:t>
      </w:r>
    </w:p>
    <w:p w14:paraId="5F01CC6A">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二、内容及要求：</w:t>
      </w:r>
    </w:p>
    <w:p w14:paraId="19FA90A1">
      <w:pPr>
        <w:keepNext w:val="0"/>
        <w:keepLines w:val="0"/>
        <w:widowControl/>
        <w:suppressLineNumbers w:val="0"/>
        <w:spacing w:line="360" w:lineRule="auto"/>
        <w:ind w:firstLine="600" w:firstLineChars="200"/>
        <w:jc w:val="both"/>
        <w:rPr>
          <w:rFonts w:hint="default"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（一）内部控制评价</w:t>
      </w:r>
    </w:p>
    <w:p w14:paraId="0C4BD2DF">
      <w:pPr>
        <w:keepNext w:val="0"/>
        <w:keepLines w:val="0"/>
        <w:widowControl/>
        <w:suppressLineNumbers w:val="0"/>
        <w:ind w:firstLine="600" w:firstLineChars="200"/>
        <w:jc w:val="left"/>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1、服务内容：依据《公立医院内部控制管理办法》（国卫财发[2020]31号）、《行政事业单位内部控制评价办法》（财会〔2025〕24 号）、《财政部关于开展 2025 年度行政事业单位内部控制评价和内部控制报告编报工作的通知》（财会〔2026〕2 号）和《广西壮族自治区财政厅关于开展 2025 年度行政事业单位内部控制评价和内部控制报告编报工作的通知》（桂财会〔2026〕6号）等政策文件要求开展内部控制评价服务，主要内容包括：</w:t>
      </w:r>
    </w:p>
    <w:p w14:paraId="52857C75">
      <w:pPr>
        <w:keepNext w:val="0"/>
        <w:keepLines w:val="0"/>
        <w:widowControl/>
        <w:suppressLineNumbers w:val="0"/>
        <w:ind w:firstLine="600" w:firstLineChars="200"/>
        <w:jc w:val="left"/>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（一）组织层面内部控制情况。包括议事决策机制、规范权力运行情况、内部控制组织架构设置及运行情况、会计核算和财务报告情况、内部控制信息系统建立与实施情况，以及其他补充情况； </w:t>
      </w:r>
    </w:p>
    <w:p w14:paraId="4F828116">
      <w:pPr>
        <w:keepNext w:val="0"/>
        <w:keepLines w:val="0"/>
        <w:widowControl/>
        <w:suppressLineNumbers w:val="0"/>
        <w:ind w:firstLine="600" w:firstLineChars="200"/>
        <w:jc w:val="left"/>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（二）业务层面内部控制情况。包括预算、收支、政府采购、资产、建设项目、合同等各类经济活动，以及单位根据各自职能职责、业务特点设置的相关业务活动内部控制制度、流程的建立与实施情况； </w:t>
      </w:r>
    </w:p>
    <w:p w14:paraId="2B0AA253">
      <w:pPr>
        <w:keepNext w:val="0"/>
        <w:keepLines w:val="0"/>
        <w:widowControl/>
        <w:suppressLineNumbers w:val="0"/>
        <w:ind w:firstLine="600" w:firstLineChars="200"/>
        <w:jc w:val="left"/>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（三）内部监督情况。包括内部监督制度建立和实施情况。 </w:t>
      </w:r>
    </w:p>
    <w:p w14:paraId="5A6E88F6">
      <w:pPr>
        <w:keepNext w:val="0"/>
        <w:keepLines w:val="0"/>
        <w:widowControl/>
        <w:numPr>
          <w:ilvl w:val="0"/>
          <w:numId w:val="0"/>
        </w:numPr>
        <w:suppressLineNumbers w:val="0"/>
        <w:spacing w:line="360" w:lineRule="auto"/>
        <w:ind w:firstLine="600" w:firstLineChars="200"/>
        <w:jc w:val="both"/>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2、成果要求：应当根据《行政事业单位内部控制评价办法》（财会〔2025〕24 号）、《财政部关于开展 2025 年度行政事业单位内部控制评价和内部控制报告编报工作的通知》（财会〔2026〕2 号）和《广西壮族自治区财政厅关于开展 2025 年度行政事业单位内部控制评价和内部控制报告编报工作的通知》（桂财会〔2026〕6号）等政策文件规定，开展内部控制评价工作，及时编制内部控制评价报告，准确反映内部控制评价结果。评价内容要涵盖《2025年度行政事业单位内部控制报告》（具体详见《广西壮族自治区财政厅关于开展 2025 年度行政事业单位内部控制评价和内部控制报告编报工作的通知》（桂财会〔2026〕6号）附表”。成果内容及深度达到上述政策文件规定标准，</w:t>
      </w: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成果文件须通过医院审核。服务期间如遇上级部门开展内部控制再评价工作，供应商需无条件配合医院按再评价要求完成再评价工作。成果要求具体如下：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920"/>
        <w:gridCol w:w="5673"/>
      </w:tblGrid>
      <w:tr w14:paraId="234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6DC9767F">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序号</w:t>
            </w:r>
          </w:p>
        </w:tc>
        <w:tc>
          <w:tcPr>
            <w:tcW w:w="1920" w:type="dxa"/>
          </w:tcPr>
          <w:p w14:paraId="77E97FBB">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成果名称</w:t>
            </w:r>
          </w:p>
        </w:tc>
        <w:tc>
          <w:tcPr>
            <w:tcW w:w="5673" w:type="dxa"/>
          </w:tcPr>
          <w:p w14:paraId="2DB09166">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成果主要内容</w:t>
            </w:r>
          </w:p>
        </w:tc>
      </w:tr>
      <w:tr w14:paraId="2285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4E884AC3">
            <w:pPr>
              <w:pStyle w:val="4"/>
              <w:spacing w:line="360" w:lineRule="auto"/>
              <w:jc w:val="cente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1</w:t>
            </w:r>
          </w:p>
        </w:tc>
        <w:tc>
          <w:tcPr>
            <w:tcW w:w="1920" w:type="dxa"/>
          </w:tcPr>
          <w:p w14:paraId="6B8E2E11">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内部控制评价实施方案</w:t>
            </w:r>
          </w:p>
        </w:tc>
        <w:tc>
          <w:tcPr>
            <w:tcW w:w="5673" w:type="dxa"/>
          </w:tcPr>
          <w:p w14:paraId="7BF57F9A">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评价依据、评估范围、评价程序和方法、工作开展计划等内容。</w:t>
            </w:r>
          </w:p>
        </w:tc>
      </w:tr>
      <w:tr w14:paraId="323B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929" w:type="dxa"/>
          </w:tcPr>
          <w:p w14:paraId="5118C615">
            <w:pPr>
              <w:pStyle w:val="4"/>
              <w:spacing w:line="360" w:lineRule="auto"/>
              <w:jc w:val="cente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2</w:t>
            </w:r>
          </w:p>
        </w:tc>
        <w:tc>
          <w:tcPr>
            <w:tcW w:w="1920" w:type="dxa"/>
          </w:tcPr>
          <w:p w14:paraId="247E9848">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工作底稿、取证单等过程资料</w:t>
            </w:r>
          </w:p>
        </w:tc>
        <w:tc>
          <w:tcPr>
            <w:tcW w:w="5673" w:type="dxa"/>
          </w:tcPr>
          <w:p w14:paraId="56B778A5">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含</w:t>
            </w: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控制测试（包含测试记录、测试样本选取原则及具体样本、测试结果等）及穿行测试（包含各关键业务流程执行过程佐证材料）所有工作底稿、取证单等书面材料及所有形成的电子材料。</w:t>
            </w:r>
          </w:p>
        </w:tc>
      </w:tr>
      <w:tr w14:paraId="6DC1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929" w:type="dxa"/>
          </w:tcPr>
          <w:p w14:paraId="11572CC1">
            <w:pPr>
              <w:pStyle w:val="4"/>
              <w:spacing w:line="360" w:lineRule="auto"/>
              <w:jc w:val="cente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3</w:t>
            </w:r>
          </w:p>
        </w:tc>
        <w:tc>
          <w:tcPr>
            <w:tcW w:w="1920" w:type="dxa"/>
          </w:tcPr>
          <w:p w14:paraId="5ADA0662">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内部控制评价报告</w:t>
            </w:r>
          </w:p>
        </w:tc>
        <w:tc>
          <w:tcPr>
            <w:tcW w:w="5673" w:type="dxa"/>
          </w:tcPr>
          <w:p w14:paraId="04E4B00D">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内容包括但不限于：</w:t>
            </w:r>
            <w:r>
              <w:rPr>
                <w:rFonts w:hint="eastAsia" w:ascii="方正仿宋_GB2312" w:hAnsi="方正仿宋_GB2312" w:eastAsia="方正仿宋_GB2312" w:cs="方正仿宋_GB2312"/>
                <w:b w:val="0"/>
                <w:bCs w:val="0"/>
                <w:color w:val="000000" w:themeColor="text1"/>
                <w:kern w:val="0"/>
                <w:sz w:val="30"/>
                <w:szCs w:val="30"/>
                <w:lang w:val="en-US" w:eastAsia="zh-CN" w:bidi="ar"/>
                <w14:textFill>
                  <w14:solidFill>
                    <w14:schemeClr w14:val="tx1"/>
                  </w14:solidFill>
                </w14:textFill>
              </w:rPr>
              <w:t>真实性声明、评价工作总体情况、评价依据、评价范围、评价程序和方法、缺陷及其认定、评价结论、控制措施建议等内容。</w:t>
            </w:r>
          </w:p>
        </w:tc>
      </w:tr>
    </w:tbl>
    <w:p w14:paraId="039BBA83">
      <w:pPr>
        <w:pStyle w:val="4"/>
        <w:spacing w:line="360" w:lineRule="auto"/>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p>
    <w:p w14:paraId="6AA88AC8">
      <w:pPr>
        <w:keepNext w:val="0"/>
        <w:keepLines w:val="0"/>
        <w:widowControl/>
        <w:numPr>
          <w:ilvl w:val="0"/>
          <w:numId w:val="0"/>
        </w:numPr>
        <w:suppressLineNumbers w:val="0"/>
        <w:spacing w:line="360" w:lineRule="auto"/>
        <w:ind w:firstLine="600" w:firstLineChars="200"/>
        <w:jc w:val="both"/>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3、若上级文件要求仍沿用原广西壮族自治区内控评价指标体系或在财政部新内部控制评价指标基础上制定补充评价指标，中标人均须无条件按照上级文件要求对内控评价报告要求进行修改、完善与调整，必要时重新组织开展内部控制评价，最终提交的内控评价成果以通过上级部门审核批准为准，相关费用已包含在投标报价中，采购人不另行支付。</w:t>
      </w:r>
    </w:p>
    <w:p w14:paraId="599732FD">
      <w:pPr>
        <w:numPr>
          <w:ilvl w:val="0"/>
          <w:numId w:val="0"/>
        </w:numPr>
        <w:spacing w:line="360" w:lineRule="auto"/>
        <w:ind w:left="420" w:leftChars="200"/>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（二）风险评估工作</w:t>
      </w:r>
    </w:p>
    <w:p w14:paraId="01E8046F">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1、服务内容：依据依据《公立医院内部控制管理办法》（国卫财发[2020]31号）要求开展经济活动内部控制风险评估服务，从单位层面及 13个业务层面梳理医院相关管理制度，对标分析，评估单位经济活动及相关业务活动存在的风险，确定相应的风险承受度及提出对应的风险应对策略措施：</w:t>
      </w:r>
    </w:p>
    <w:p w14:paraId="11BC33DE">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医院单位层面的风险评估主要包含内部控制组织建设情况、内部控制机制的建设情况、内部控制制度建设情况、内部控制队伍建设情况、内部控制流程建设情况、财务信息的编报情况、其他需要关注的内容。</w:t>
      </w:r>
    </w:p>
    <w:p w14:paraId="2ABE5872">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业务层面的风险评估主要包含预算管理情况、收支管理情况、政府采购管理情况、资产管理情况、建设项目管理情况、合同管理情况、医疗业务管理情况、科研项目和临床试验项目管理情况、教学管理情况、互联网诊疗管理情况、医联体管理情况、信息系统管理情况、其他需要关注的内容。</w:t>
      </w:r>
    </w:p>
    <w:p w14:paraId="0025EF1C">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2、成果要求：</w:t>
      </w:r>
    </w:p>
    <w:p w14:paraId="4F3EFEEE">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供应商应当根据《公立医院内部控制管理办法》文件中相关对风险评估的要求，设计内部控制风险评估报告的种类、格式和内容，明确内部控制风险评估报告编制程序和要求，及时编制内部控制风险评估报告，准确反映内部控制风险评估结果。成果内容及深度达到《公立医院内部控制管理办法》（国卫财发[2020]31号）等文件规定标准</w:t>
      </w: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，成果文件须通过医院审核。成果要求具体如下：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920"/>
        <w:gridCol w:w="5673"/>
      </w:tblGrid>
      <w:tr w14:paraId="1101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69133D36">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序号</w:t>
            </w:r>
          </w:p>
        </w:tc>
        <w:tc>
          <w:tcPr>
            <w:tcW w:w="1920" w:type="dxa"/>
          </w:tcPr>
          <w:p w14:paraId="708BB682">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成果名称</w:t>
            </w:r>
          </w:p>
        </w:tc>
        <w:tc>
          <w:tcPr>
            <w:tcW w:w="5673" w:type="dxa"/>
          </w:tcPr>
          <w:p w14:paraId="7EE1278B">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成果主要内容</w:t>
            </w:r>
          </w:p>
        </w:tc>
      </w:tr>
      <w:tr w14:paraId="22D1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284692F7">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1</w:t>
            </w:r>
          </w:p>
        </w:tc>
        <w:tc>
          <w:tcPr>
            <w:tcW w:w="1920" w:type="dxa"/>
          </w:tcPr>
          <w:p w14:paraId="504F5D1B">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风险评估实施方案</w:t>
            </w:r>
          </w:p>
        </w:tc>
        <w:tc>
          <w:tcPr>
            <w:tcW w:w="5673" w:type="dxa"/>
          </w:tcPr>
          <w:p w14:paraId="45C982D0">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风险评估依据、评估范围、评估程序和方法、工作开展计划等内容。</w:t>
            </w:r>
          </w:p>
        </w:tc>
      </w:tr>
      <w:tr w14:paraId="2B2C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5D342049">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2</w:t>
            </w:r>
          </w:p>
        </w:tc>
        <w:tc>
          <w:tcPr>
            <w:tcW w:w="1920" w:type="dxa"/>
          </w:tcPr>
          <w:p w14:paraId="37B7474C">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工作底稿、取证单等过程资料</w:t>
            </w:r>
          </w:p>
        </w:tc>
        <w:tc>
          <w:tcPr>
            <w:tcW w:w="5673" w:type="dxa"/>
          </w:tcPr>
          <w:p w14:paraId="459FFE60">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工作底稿、取证单等过程资料。</w:t>
            </w:r>
          </w:p>
        </w:tc>
      </w:tr>
      <w:tr w14:paraId="0440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4FB28AB2">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3</w:t>
            </w:r>
          </w:p>
        </w:tc>
        <w:tc>
          <w:tcPr>
            <w:tcW w:w="1920" w:type="dxa"/>
          </w:tcPr>
          <w:p w14:paraId="4C3D8F41">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风险评估报告（含风险清单）</w:t>
            </w:r>
          </w:p>
        </w:tc>
        <w:tc>
          <w:tcPr>
            <w:tcW w:w="5673" w:type="dxa"/>
          </w:tcPr>
          <w:p w14:paraId="524742AB">
            <w:pPr>
              <w:pStyle w:val="4"/>
              <w:spacing w:line="360" w:lineRule="auto"/>
              <w:jc w:val="both"/>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内容包括但不限于：风险识别、风险分析、风险评价、风险评估结果分析等内容，贴合单位经济业务特点的风险清单，结合实地考察情况修订完善风险清单，并附风险清单。</w:t>
            </w:r>
          </w:p>
        </w:tc>
      </w:tr>
    </w:tbl>
    <w:p w14:paraId="31436AE0">
      <w:pPr>
        <w:keepNext w:val="0"/>
        <w:keepLines w:val="0"/>
        <w:widowControl/>
        <w:suppressLineNumbers w:val="0"/>
        <w:spacing w:line="360" w:lineRule="auto"/>
        <w:ind w:firstLine="600" w:firstLineChars="200"/>
        <w:jc w:val="both"/>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3、</w:t>
      </w: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若在评估实施过程中或评估完成后，上级文件对风险评估要求及内容有增减变动</w:t>
      </w: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，中标人须无条件按照最新文件及采购人要求，对评价报告进行修订、完善，必要时对相关内容重新开展风险评估，相关费用已包含在投标报价中，采购人不另行支付。</w:t>
      </w:r>
    </w:p>
    <w:p w14:paraId="5E2FDA8A">
      <w:pPr>
        <w:keepNext w:val="0"/>
        <w:keepLines w:val="0"/>
        <w:widowControl/>
        <w:numPr>
          <w:ilvl w:val="0"/>
          <w:numId w:val="0"/>
        </w:numPr>
        <w:suppressLineNumbers w:val="0"/>
        <w:spacing w:line="360" w:lineRule="auto"/>
        <w:ind w:firstLine="301" w:firstLineChars="100"/>
        <w:jc w:val="both"/>
        <w:rPr>
          <w:rFonts w:hint="eastAsia" w:ascii="方正仿宋_GB2312" w:hAnsi="方正仿宋_GB2312" w:eastAsia="方正仿宋_GB2312" w:cs="方正仿宋_GB2312"/>
          <w:b/>
          <w:bCs/>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0"/>
          <w:szCs w:val="30"/>
          <w:highlight w:val="none"/>
          <w:lang w:val="en-US" w:eastAsia="zh-CN" w:bidi="ar"/>
          <w14:textFill>
            <w14:solidFill>
              <w14:schemeClr w14:val="tx1"/>
            </w14:solidFill>
          </w14:textFill>
        </w:rPr>
        <w:t>（三）医用耗材管理专项审计</w:t>
      </w:r>
    </w:p>
    <w:p w14:paraId="6F18C18A">
      <w:p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1、服务内容：依据《</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卫生健康行业内部审计基本指引（试行）》（国卫办财务函〔2023〕416号）中的《高值医用耗材专项审计指引》、</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医疗机构医用耗材管理办法（试行）》（卫医发〔2019〕43号）等相关政策要求开展医用耗材专项审计工作，包括医用耗材制度建设、机构管理、遴选与采购、验收储存、申领、发放、临床使用、监测与评价、信息化建设等情况：</w:t>
      </w:r>
    </w:p>
    <w:p w14:paraId="0A6C9FB5">
      <w:p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制度建设情况：制度建设的概况，包括准入、遴选、采购、验收、入库、储存、申领、出库、二级库、盘点、追溯、监测、评价、监督、信息化等制度；制度出台发文的审批流程；现行制度与上位法、各制度之间的合理性以及与实际操作之间的适用性；制度更新废止的及时性。</w:t>
      </w:r>
    </w:p>
    <w:p w14:paraId="40280AC9">
      <w:pPr>
        <w:pStyle w:val="4"/>
        <w:spacing w:line="360" w:lineRule="auto"/>
        <w:ind w:firstLine="600" w:firstLineChars="200"/>
        <w:jc w:val="both"/>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t>机构管理：医用耗材委员会的设立与运行情况；医用耗材管理部门的岗位设置、职责分工、人员配备的情况；医用耗材管理部门对使用部门管理耗材的咨询、指导、监督等情况。</w:t>
      </w:r>
    </w:p>
    <w:p w14:paraId="681A3F5E">
      <w:pPr>
        <w:pStyle w:val="4"/>
        <w:spacing w:line="360" w:lineRule="auto"/>
        <w:ind w:firstLine="600" w:firstLineChars="200"/>
        <w:jc w:val="both"/>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t>遴选与采购：医用耗材供应目录的审批及更新情况、采购定价情况、政府采购制度执行等情况。</w:t>
      </w:r>
    </w:p>
    <w:p w14:paraId="2DFFFD56">
      <w:p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验收储存：验收制度、入库制度的执行；入库记录的查验时效、信息内容；库房的设置、设备配置、质量检查、盘点。</w:t>
      </w:r>
    </w:p>
    <w:p w14:paraId="20EB3747">
      <w:pPr>
        <w:pStyle w:val="4"/>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申领、发放与临床使用：出库的先后次序、申请审批、签收确认；医用耗材临床使用分类管理、医用耗材使用培训等情况。</w:t>
      </w:r>
    </w:p>
    <w:p w14:paraId="14EA83E8">
      <w:p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监测与评价：耗材的安全事件上报、不良反应监测、重点监控、超常预警；发生安全事件的耗材所采取的暂停使用、配合召回、后续调查；信息公开等情况。</w:t>
      </w:r>
    </w:p>
    <w:p w14:paraId="0A5BFDCC">
      <w:p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信息化建设：信息系统的建设情况；信息系统与其他信息系统的整合情况；信息系统对耗材管理各环节、高风险医用耗材全生命周期的覆盖与追溯情况。</w:t>
      </w:r>
    </w:p>
    <w:p w14:paraId="3006B5AB">
      <w:pPr>
        <w:pStyle w:val="4"/>
        <w:spacing w:line="360" w:lineRule="auto"/>
        <w:ind w:firstLine="42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其他情况：以往年度审计发现医用耗材相关问题的整改情况；相关资料归档管理情况。</w:t>
      </w:r>
    </w:p>
    <w:p w14:paraId="3910B723">
      <w:pPr>
        <w:numPr>
          <w:ilvl w:val="0"/>
          <w:numId w:val="0"/>
        </w:num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2、成果要求：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920"/>
        <w:gridCol w:w="5673"/>
      </w:tblGrid>
      <w:tr w14:paraId="6359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1632B3EF">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序号</w:t>
            </w:r>
          </w:p>
        </w:tc>
        <w:tc>
          <w:tcPr>
            <w:tcW w:w="1920" w:type="dxa"/>
          </w:tcPr>
          <w:p w14:paraId="5614BC08">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成果名称</w:t>
            </w:r>
          </w:p>
        </w:tc>
        <w:tc>
          <w:tcPr>
            <w:tcW w:w="5673" w:type="dxa"/>
          </w:tcPr>
          <w:p w14:paraId="39CEB4BC">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成果主要内容</w:t>
            </w:r>
          </w:p>
        </w:tc>
      </w:tr>
      <w:tr w14:paraId="7CC8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3BF64132">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1</w:t>
            </w:r>
          </w:p>
        </w:tc>
        <w:tc>
          <w:tcPr>
            <w:tcW w:w="1920" w:type="dxa"/>
          </w:tcPr>
          <w:p w14:paraId="2A0F6522">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医用耗材管理审计实施方案</w:t>
            </w:r>
          </w:p>
        </w:tc>
        <w:tc>
          <w:tcPr>
            <w:tcW w:w="5673" w:type="dxa"/>
          </w:tcPr>
          <w:p w14:paraId="60BC04E2">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审计目标、审计范围、审计内容、审计程序与方法、人员安排、时间进度计划、质量控制措施、沟通机制及工作成果提交计划</w:t>
            </w:r>
          </w:p>
        </w:tc>
      </w:tr>
      <w:tr w14:paraId="13E8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0ADCDADA">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2</w:t>
            </w:r>
          </w:p>
        </w:tc>
        <w:tc>
          <w:tcPr>
            <w:tcW w:w="1920" w:type="dxa"/>
          </w:tcPr>
          <w:p w14:paraId="46E06FD0">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工作底稿、取证单等过程资料</w:t>
            </w:r>
          </w:p>
        </w:tc>
        <w:tc>
          <w:tcPr>
            <w:tcW w:w="5673" w:type="dxa"/>
          </w:tcPr>
          <w:p w14:paraId="50B14823">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0"/>
                <w:szCs w:val="30"/>
                <w:highlight w:val="none"/>
                <w:lang w:val="en-US" w:eastAsia="zh-CN" w:bidi="ar"/>
                <w14:textFill>
                  <w14:solidFill>
                    <w14:schemeClr w14:val="tx1"/>
                  </w14:solidFill>
                </w14:textFill>
              </w:rPr>
              <w:t>含</w:t>
            </w:r>
            <w:r>
              <w:rPr>
                <w:rFonts w:hint="eastAsia" w:ascii="方正仿宋_GB2312" w:hAnsi="方正仿宋_GB2312" w:eastAsia="方正仿宋_GB2312" w:cs="方正仿宋_GB2312"/>
                <w:color w:val="000000" w:themeColor="text1"/>
                <w:sz w:val="30"/>
                <w:szCs w:val="30"/>
                <w:vertAlign w:val="baseline"/>
                <w:lang w:val="en-US" w:eastAsia="zh-CN"/>
                <w14:textFill>
                  <w14:solidFill>
                    <w14:schemeClr w14:val="tx1"/>
                  </w14:solidFill>
                </w14:textFill>
              </w:rPr>
              <w:t>工作底稿、取证单等过程资料。</w:t>
            </w:r>
          </w:p>
        </w:tc>
      </w:tr>
      <w:tr w14:paraId="5ACC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25ABB523">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3</w:t>
            </w:r>
          </w:p>
        </w:tc>
        <w:tc>
          <w:tcPr>
            <w:tcW w:w="1920" w:type="dxa"/>
          </w:tcPr>
          <w:p w14:paraId="355404CB">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医用耗材管理审计报告</w:t>
            </w:r>
          </w:p>
        </w:tc>
        <w:tc>
          <w:tcPr>
            <w:tcW w:w="5673" w:type="dxa"/>
          </w:tcPr>
          <w:p w14:paraId="57FED1CD">
            <w:pPr>
              <w:pStyle w:val="4"/>
              <w:spacing w:line="360" w:lineRule="auto"/>
              <w:jc w:val="both"/>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vertAlign w:val="baseline"/>
                <w:lang w:val="en-US" w:eastAsia="zh-CN"/>
                <w14:textFill>
                  <w14:solidFill>
                    <w14:schemeClr w14:val="tx1"/>
                  </w14:solidFill>
                </w14:textFill>
              </w:rPr>
              <w:t>内容包括但不限于：</w:t>
            </w:r>
            <w:r>
              <w:rPr>
                <w:rFonts w:hint="eastAsia" w:ascii="方正仿宋_GB2312" w:hAnsi="方正仿宋_GB2312" w:eastAsia="方正仿宋_GB2312" w:cs="方正仿宋_GB2312"/>
                <w:b w:val="0"/>
                <w:bCs w:val="0"/>
                <w:color w:val="000000" w:themeColor="text1"/>
                <w:kern w:val="0"/>
                <w:sz w:val="30"/>
                <w:szCs w:val="30"/>
                <w:lang w:val="en-US" w:eastAsia="zh-CN" w:bidi="ar"/>
                <w14:textFill>
                  <w14:solidFill>
                    <w14:schemeClr w14:val="tx1"/>
                  </w14:solidFill>
                </w14:textFill>
              </w:rPr>
              <w:t>审计概况、审计范围、审计依据、审计发现、问题定性、整改建议及审计结论等。</w:t>
            </w:r>
          </w:p>
        </w:tc>
      </w:tr>
    </w:tbl>
    <w:p w14:paraId="30AE0D7F">
      <w:pPr>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三、审计基准期：本次</w:t>
      </w: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风险评估、内部控制评价及医用耗材专项审计服务</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的基准期为2025年1月1日至2025年12月31日，如审计中发现需要追溯核查的事项，中标人应根据审计需要，将审计时间范围延伸至以前年度，并对相关年度的资料开展延伸审计。</w:t>
      </w:r>
    </w:p>
    <w:p w14:paraId="047FC0E9">
      <w:pPr>
        <w:pStyle w:val="4"/>
        <w:spacing w:line="360" w:lineRule="auto"/>
        <w:ind w:firstLine="600" w:firstLineChars="20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四、人员与组织要求</w:t>
      </w:r>
    </w:p>
    <w:p w14:paraId="33CB2F22">
      <w:pPr>
        <w:spacing w:line="360" w:lineRule="auto"/>
        <w:ind w:firstLine="420"/>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一）供应商服务团队需具备公立医院风险评估、内部控制评价及专项审计相关服务经验，核心成员需熟悉行政事业单位及公立医院相关政策规范，具备相应的专业资质及从业能力，服务过程中需严格遵守医院的各项管理制度，保守医院商业秘密及敏感信息（如患者信息、财务数据、核心管理制度等），不得泄露相关信息。</w:t>
      </w:r>
    </w:p>
    <w:p w14:paraId="622AE09A">
      <w:pPr>
        <w:spacing w:line="360" w:lineRule="auto"/>
        <w:ind w:firstLine="420"/>
        <w:jc w:val="both"/>
        <w:rPr>
          <w:rFonts w:hint="default"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二）本项目包含内部控制评价、风险评估与医用耗材管理专项审计两项工作内容，为保障工作独立性、专业性与进度要求，中标供应商必须将两项业务分设为相互独立的两个项目组，同时进场、同步开展工作，分别配备固定项目负责人与专职人员，不得混岗、不得相互兼任。整个项目投入专职人员总数不得少于4人。</w:t>
      </w:r>
    </w:p>
    <w:p w14:paraId="70964B1C">
      <w:pPr>
        <w:keepNext w:val="0"/>
        <w:keepLines w:val="0"/>
        <w:widowControl/>
        <w:numPr>
          <w:ilvl w:val="0"/>
          <w:numId w:val="0"/>
        </w:numPr>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五、服务时限要求</w:t>
      </w:r>
    </w:p>
    <w:p w14:paraId="5BAFCFEE">
      <w:pPr>
        <w:keepNext w:val="0"/>
        <w:keepLines w:val="0"/>
        <w:widowControl/>
        <w:numPr>
          <w:ilvl w:val="0"/>
          <w:numId w:val="0"/>
        </w:numPr>
        <w:suppressLineNumbers w:val="0"/>
        <w:spacing w:line="360" w:lineRule="auto"/>
        <w:ind w:firstLine="600" w:firstLineChars="200"/>
        <w:jc w:val="both"/>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pPr>
      <w:r>
        <w:rPr>
          <w:rFonts w:hint="eastAsia" w:ascii="方正仿宋_GB2312" w:hAnsi="方正仿宋_GB2312" w:eastAsia="方正仿宋_GB2312" w:cs="方正仿宋_GB2312"/>
          <w:color w:val="000000" w:themeColor="text1"/>
          <w:kern w:val="0"/>
          <w:sz w:val="30"/>
          <w:szCs w:val="30"/>
          <w:highlight w:val="none"/>
          <w:lang w:val="en-US" w:eastAsia="zh-CN" w:bidi="ar"/>
          <w14:textFill>
            <w14:solidFill>
              <w14:schemeClr w14:val="tx1"/>
            </w14:solidFill>
          </w14:textFill>
        </w:rPr>
        <w:t>合同签订后30日内，供应商提交完整成果文件，待医院审定后三个工作日出具正式成果文件并配合医院完成上级部门（卫健委、财政部门等）对内部控制评价、风险评估工作的检查、督导及验收工作，提供所需相关佐证资料及专业说明。成交人自正式审计报告出具当日起计180日内，持续提供业务答疑、问题解释、协助对接、配合主管部门核查等相关后续配套工作。</w:t>
      </w:r>
      <w:bookmarkStart w:id="0" w:name="_GoBack"/>
      <w:bookmarkEnd w:id="0"/>
    </w:p>
    <w:p w14:paraId="424BBE17">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4E29A2D3">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28E03C8D">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6E5F53B4">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55E06ECC">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3D63B63B">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6B38DD23">
      <w:pPr>
        <w:spacing w:line="360" w:lineRule="auto"/>
        <w:jc w:val="both"/>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p>
    <w:p w14:paraId="2438F818">
      <w:pPr>
        <w:numPr>
          <w:ilvl w:val="0"/>
          <w:numId w:val="0"/>
        </w:numPr>
        <w:spacing w:line="360" w:lineRule="auto"/>
        <w:jc w:val="both"/>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37E32D50-DFF3-4E97-A4B9-F7DFA5A6B4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45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BFB4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0BFB4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440F"/>
    <w:rsid w:val="05637A58"/>
    <w:rsid w:val="0F62660F"/>
    <w:rsid w:val="1F0611D0"/>
    <w:rsid w:val="1FDB4CA6"/>
    <w:rsid w:val="25950C86"/>
    <w:rsid w:val="2B997381"/>
    <w:rsid w:val="2BBD3479"/>
    <w:rsid w:val="2C2A561B"/>
    <w:rsid w:val="41F77A8D"/>
    <w:rsid w:val="46FC0C77"/>
    <w:rsid w:val="50F340E7"/>
    <w:rsid w:val="567165CD"/>
    <w:rsid w:val="57F00B3D"/>
    <w:rsid w:val="6ABB336D"/>
    <w:rsid w:val="6BFF3579"/>
    <w:rsid w:val="7EC8129B"/>
    <w:rsid w:val="7EE8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3416</Words>
  <Characters>3499</Characters>
  <Lines>0</Lines>
  <Paragraphs>0</Paragraphs>
  <TotalTime>35</TotalTime>
  <ScaleCrop>false</ScaleCrop>
  <LinksUpToDate>false</LinksUpToDate>
  <CharactersWithSpaces>3517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2026-03-11T00:10:00Z</dcterms:created>
  <dc:creator>Administrator</dc:creator>
  <cp:lastModifiedBy>珊珊</cp:lastModifiedBy>
  <cp:lastPrinted>2026-03-30T05:09:00Z</cp:lastPrinted>
  <dcterms:modified xsi:type="dcterms:W3CDTF">2026-04-10T04:37:04Z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eyJoZGlkIjoiNzUwMDdhNzdlMmJjNzIyZTE1MmY0YTJhOGMzNGI5OTYiLCJ1c2VySWQiOiIxMDI5MjU3ODU1In0=</vt:lpwstr>
  </property>
  <property fmtid="{D5CDD505-2E9C-101B-9397-08002B2CF9AE}" pid="4" name="ICV">
    <vt:lpwstr>65AE3562C4E44218993D1DFBEDA5D282_12</vt:lpwstr>
  </property>
</Properties>
</file>