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F64A7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附件一：</w:t>
      </w:r>
    </w:p>
    <w:p w14:paraId="21408E12">
      <w:pPr>
        <w:rPr>
          <w:rFonts w:hint="eastAsia"/>
          <w:lang w:val="en-US" w:eastAsia="zh-CN"/>
        </w:rPr>
      </w:pPr>
    </w:p>
    <w:p w14:paraId="3E2FBF69">
      <w:pPr>
        <w:spacing w:after="12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40"/>
          <w:szCs w:val="40"/>
          <w:u w:val="none"/>
        </w:rPr>
        <w:t>共享陪护床/陪护椅服务项目需求</w:t>
      </w:r>
    </w:p>
    <w:tbl>
      <w:tblPr>
        <w:tblStyle w:val="4"/>
        <w:tblW w:w="5129" w:type="pct"/>
        <w:tblInd w:w="-2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679"/>
        <w:gridCol w:w="7315"/>
      </w:tblGrid>
      <w:tr w14:paraId="0417A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58C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序号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713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类别</w:t>
            </w:r>
          </w:p>
        </w:tc>
        <w:tc>
          <w:tcPr>
            <w:tcW w:w="4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7910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服务内容及要求</w:t>
            </w:r>
          </w:p>
        </w:tc>
      </w:tr>
      <w:tr w14:paraId="40307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E9D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0DB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项目概述</w:t>
            </w:r>
          </w:p>
        </w:tc>
        <w:tc>
          <w:tcPr>
            <w:tcW w:w="4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919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1.投放管理要求：</w:t>
            </w:r>
          </w:p>
          <w:p w14:paraId="6068DF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供应商需在医院各住院病区投放共享陪护床，具体投放数量、病区及位置，由医院根据临床实际需求，与供应商现场勘察后共同确定；服务期内，可根据科室使用需求协商调整投放规模与位置。</w:t>
            </w:r>
          </w:p>
          <w:p w14:paraId="249271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2.运营服务要求：</w:t>
            </w:r>
          </w:p>
          <w:p w14:paraId="149D86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为住院患者家属提供全天候 24 小时扫码租借服务，租赁费用由供应商直接向使用者收取；供应商需提供微信/支付宝扫码支付、现金支付等多种支付方式，并按规定出具合法收费凭证。</w:t>
            </w:r>
          </w:p>
          <w:p w14:paraId="43632D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双方责任分工：</w:t>
            </w:r>
          </w:p>
          <w:p w14:paraId="016A9A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本项目由供应商全额投资建设并运营，承担设备的日常投放、回收、清洁消毒、维修更换及系统维护等全部工作；医院仅提供场地支持，不承担任何资金投入。</w:t>
            </w:r>
          </w:p>
        </w:tc>
      </w:tr>
      <w:tr w14:paraId="46F5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962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B8B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设备要求</w:t>
            </w:r>
          </w:p>
        </w:tc>
        <w:tc>
          <w:tcPr>
            <w:tcW w:w="4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C6F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1.结构与安全设计：设备采用折叠式结构，展开为床，有效节省病房空间；整体结构稳固可靠，需具备防倾倒、防滑、防磕碰的安全设计，保障使用过程中的人身安全。</w:t>
            </w:r>
          </w:p>
          <w:p w14:paraId="65EF79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2.材质与院感要求：设备材质需环保无毒、表面光滑易清洁消毒，各项指标符合医院感染管理相关规范要求。</w:t>
            </w:r>
          </w:p>
          <w:p w14:paraId="19FC06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3.智能与支付功能：配备智能扫码锁具，支持微信、支付宝等主流支付方式，实现便捷租借管理。</w:t>
            </w:r>
          </w:p>
          <w:p w14:paraId="3C9EC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4.设备标识与台账管理：每张陪护床须粘贴唯一编号标识；供应商需建立完整设备台账，详细记录每台设备的投放位置、使用状态、维修保养记录等信息，确保可追溯管理。</w:t>
            </w:r>
          </w:p>
          <w:p w14:paraId="03A2BF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5.产品资质文件：供应商须提供产品合格证明、材质检测报告（含甲醛、重金属等安全指标）、阻燃性能检测报告等全套资质文件。</w:t>
            </w:r>
          </w:p>
          <w:p w14:paraId="729632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6.外观与环境适配：床体不得出现任何形式的商业广告内容；设备外观设计简洁大方，与医院整体环境风格相协调。</w:t>
            </w:r>
          </w:p>
        </w:tc>
      </w:tr>
      <w:tr w14:paraId="4410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DED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674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服务要求</w:t>
            </w:r>
          </w:p>
        </w:tc>
        <w:tc>
          <w:tcPr>
            <w:tcW w:w="4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C72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1.供应商负责设备日常维护、维修、更换及系统运营；</w:t>
            </w:r>
          </w:p>
          <w:p w14:paraId="7FE6D2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2.提供24小时客服热线，故障2小时内响应、24小时内修复或换新；</w:t>
            </w:r>
          </w:p>
          <w:p w14:paraId="5DE38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3.每周至少巡检清洁一次；</w:t>
            </w:r>
          </w:p>
          <w:p w14:paraId="3C1F62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4.须为每台设备购买产品责任险及公众责任险。</w:t>
            </w:r>
          </w:p>
          <w:p w14:paraId="1F8ED4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1ED4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EC6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D32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收费及结算</w:t>
            </w:r>
          </w:p>
        </w:tc>
        <w:tc>
          <w:tcPr>
            <w:tcW w:w="4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3EC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1.收费标准由供应商在报价表中（附件2）填报，不得高于同区域同级医院水平，须在设备醒目位置公示价格及投诉渠道；</w:t>
            </w:r>
          </w:p>
          <w:p w14:paraId="2A207B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2.医院按营收总额收取场地管理费，比例由供应商报价；</w:t>
            </w:r>
          </w:p>
          <w:p w14:paraId="1A7D87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3.按月对账结算，供应商须提供后台数据供核查。</w:t>
            </w:r>
          </w:p>
        </w:tc>
      </w:tr>
      <w:tr w14:paraId="5EE87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783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066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合作期限</w:t>
            </w:r>
          </w:p>
        </w:tc>
        <w:tc>
          <w:tcPr>
            <w:tcW w:w="4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5D7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三年，年度考核合格后续签。</w:t>
            </w:r>
          </w:p>
        </w:tc>
      </w:tr>
      <w:tr w14:paraId="5DD4B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564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A1E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退出机制</w:t>
            </w:r>
          </w:p>
        </w:tc>
        <w:tc>
          <w:tcPr>
            <w:tcW w:w="4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54E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50" w:after="50" w:line="3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合作终止后 7 个工作日内，供应商自行拆除清运全部设备，恢复场地原状。</w:t>
            </w:r>
          </w:p>
        </w:tc>
      </w:tr>
    </w:tbl>
    <w:p w14:paraId="78998D35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291F554-897D-4736-A657-88D0BA1762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51E3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D442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9D44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553D6"/>
    <w:multiLevelType w:val="singleLevel"/>
    <w:tmpl w:val="036553D6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020EA2"/>
    <w:rsid w:val="632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934</Characters>
  <Lines>0</Lines>
  <Paragraphs>0</Paragraphs>
  <TotalTime>5</TotalTime>
  <ScaleCrop>false</ScaleCrop>
  <LinksUpToDate>false</LinksUpToDate>
  <CharactersWithSpaces>938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2026-06-23T10:58:00Z</dcterms:created>
  <dc:creator>小郭郭</dc:creator>
  <cp:lastModifiedBy>ali</cp:lastModifiedBy>
  <dcterms:modified xsi:type="dcterms:W3CDTF">2026-07-17T07:20:23Z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eyJoZGlkIjoiZTAzYjFhNTM3NzZmMTQ3NGM5MWFhMzU1OTdhMjAwZDYiLCJ1c2VySWQiOiIyNDIzNDE2OTEifQ==</vt:lpwstr>
  </property>
  <property fmtid="{D5CDD505-2E9C-101B-9397-08002B2CF9AE}" pid="4" name="ICV">
    <vt:lpwstr>9D914AC5BD414B1DB41E2F1C1D27A3CB_13</vt:lpwstr>
  </property>
</Properties>
</file>