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2ED4B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7"/>
        <w:gridCol w:w="2805"/>
        <w:gridCol w:w="1411"/>
        <w:gridCol w:w="2849"/>
      </w:tblGrid>
      <w:tr w14:paraId="49032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5" w:type="pct"/>
          </w:tcPr>
          <w:p w14:paraId="54C0E81C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6" w:type="pct"/>
          </w:tcPr>
          <w:p w14:paraId="09F5CD99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西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  <w:tc>
          <w:tcPr>
            <w:tcW w:w="828" w:type="pct"/>
          </w:tcPr>
          <w:p w14:paraId="6741D1A8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69" w:type="pct"/>
          </w:tcPr>
          <w:p w14:paraId="6158E6BB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6CADB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5" w:type="pct"/>
          </w:tcPr>
          <w:p w14:paraId="6745F35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6" w:type="pct"/>
          </w:tcPr>
          <w:p w14:paraId="64E13630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8" w:type="pct"/>
          </w:tcPr>
          <w:p w14:paraId="4D79EDAB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69" w:type="pct"/>
          </w:tcPr>
          <w:p w14:paraId="78D4D3E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</w:p>
        </w:tc>
      </w:tr>
      <w:tr w14:paraId="31608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5" w:type="pct"/>
          </w:tcPr>
          <w:p w14:paraId="721BCD9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4" w:type="pct"/>
            <w:gridSpan w:val="3"/>
          </w:tcPr>
          <w:p w14:paraId="7024882F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3FDCA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5" w:type="pct"/>
            <w:vAlign w:val="center"/>
          </w:tcPr>
          <w:p w14:paraId="60C9F981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00FC5D7B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4" w:type="pct"/>
            <w:gridSpan w:val="3"/>
          </w:tcPr>
          <w:p w14:paraId="6B39CCF5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罗伟生教授、唐燕、陈启帆、梁皓、伍漫漫、廖丹丹、梁瀞云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司马玲</w:t>
            </w:r>
          </w:p>
          <w:p w14:paraId="61F934F2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17C4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5" w:type="pct"/>
          </w:tcPr>
          <w:p w14:paraId="7842071C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4" w:type="pct"/>
            <w:gridSpan w:val="3"/>
          </w:tcPr>
          <w:p w14:paraId="0D1C1037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10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西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医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病案讨论</w:t>
            </w:r>
          </w:p>
        </w:tc>
      </w:tr>
      <w:tr w14:paraId="3997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1244AFF5">
            <w:pPr>
              <w:rPr>
                <w:rFonts w:hint="default" w:ascii="宋体" w:hAnsi="宋体" w:eastAsia="宋体"/>
                <w:sz w:val="28"/>
                <w:szCs w:val="32"/>
                <w:lang w:val="en-US"/>
              </w:rPr>
            </w:pPr>
            <w:r>
              <w:rPr>
                <w:rFonts w:hint="default" w:ascii="宋体" w:hAnsi="宋体" w:eastAsia="宋体"/>
                <w:b/>
                <w:bCs/>
                <w:sz w:val="28"/>
                <w:szCs w:val="32"/>
                <w:lang w:val="en-US"/>
              </w:rPr>
              <w:t>会议内容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：</w:t>
            </w:r>
          </w:p>
          <w:p w14:paraId="34F20969">
            <w:pP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唐燕</w:t>
            </w:r>
            <w:r>
              <w:rPr>
                <w:rFonts w:hint="default" w:ascii="宋体" w:hAnsi="宋体" w:eastAsia="宋体"/>
                <w:sz w:val="28"/>
                <w:szCs w:val="32"/>
                <w:lang w:val="en-US"/>
              </w:rPr>
              <w:t>汇报病史及诊治经过：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患者黄玉棉，女，66岁，因“[发现肝内占位5年]”于2021-11-22 12:10由门诊步行入院。患者自诉2017年在当地医院体检行B超检查发现肝内占位，具体不详，当时无腹胀、腹痛，无畏寒发热，无头晕头痛，无消瘦不适，当时医院建议进一步检查明确肝内占位性质，未予重视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8"/>
                <w:szCs w:val="28"/>
              </w:rPr>
              <w:t>，未予以进一步检查。2019年单位体检行B超检查仍提示肝内占位，仍未进一步诊治，期间均未见明显不适。2021年11月18日不慎摔倒致右胸部疼痛，11月20日至田阳县中医医院门诊就诊，行胸部CT+三维重建检查，提示右第4-8肋骨骨折，肝尾叶及腹主动脉间歇高密度影考虑占位性病变，稍乏力，无畏寒、发热，无咳嗽、咳痰，无胸闷、心悸，无恶心、呕吐等不适 ，建议患者至上级医院检查明确肝占位性性质，现为进一步明确肝占位性性质，遂至我院门诊就诊，门诊拟“肝脏占位性病变”收住我科。患者自发病以来，精神、睡眠可，寐可，食欲稍差，大小便调，近期体重未见明显改变。入院症见：稍乏力。既往2018年发现血压升高，最高时血压可达150-160/80-100mmHg，无明显头晕、头痛等不适，未规律监测血压，未服用降压药物，未行系统诊治。2021年11月18日不慎从楼梯上滑落，致右侧胸部疼痛，曾至田阳县中医院门诊就诊，行胸部CT提示右第4-8肋骨骨折，肺挫伤？，门诊予口服药物治疗（具体药物不详）。入院查体：T:37.0℃，P:80次/分，R:20次/分，BP:193/112mmHg。神清，正常面容，皮肤黏膜无皮疹、黄染、出血点，无肝掌、无蜘蛛痣。两肺呼吸音清，两肺未闻及明显啰音。胸廓外观无畸形，右侧胸背部有压痛，无肿胀，局部无伤口，无皮下瘀斑；心界不大，律齐，各心脏瓣膜区未闻及杂音。腹平坦，无皮疹、色素沉着、条纹、疤痕、脐疝、静脉曲张、胃肠蠕动波，腹壁柔软，全腹部无压痛、反跳痛，未触及包块，肝脏肋下未触及，胆囊未触及，墨菲氏征阴性，脾脏肋下未触及。叩诊呈鼓音，肝上界位于右锁骨中线第五肋间，肝区无叩击痛，脾区无叩击痛，腹部无移动性浊音。肠鸣音正常，4次/分，无气过水音，未闻及血管杂音。双下肢无浮肿。舌淡，苔薄白，脉弦。辅助检查：胸部CT+三维重建检查（2021-11-20田阳县中医医院门诊）：右第4-8肋骨骨折；两肺高密度影并右侧胸膜增厚，肺挫伤？建议复查；主动脉硬化；胆囊结石；肝尾叶及腹主动脉间歇高密度影，考虑占位性病变，建议CT增强进一步检查；右肾低密度影，性质待查。入院后完善相关检查：2021-11-22 血常规+CRP（急）:中性粒细胞百分比 76.0%↑，C-反应蛋白 23.50mg/L↑；急诊离子:钾 3.06mmol/L↓；凝血四项(急):凝血酶原时间活度 123.00%↑，纤维蛋白原含量 4.53g/L↑；头部{64排CT平扫},胸部{64排CT平扫+重建}：1、右侧第3-8肋骨折；2、两肺挫伤，两侧胸腔少量积血可能性大；3、肝S1段区异常肿块影，肝S1外生性肿瘤？腹膜后神经源性肿瘤？建议腹部MRI平扫+增强检查进一步观察；4、轻度脑萎缩；6、副鼻窦炎症。尿25A+mAlb全套:红细胞计数 6个/ul↑；粪便常规+隐血（无粪寄生虫镜检）:肝吸虫卵 未见；凝血六项全套:凝血酶原时间活度 136.00%↑，纤维蛋白原含量 4.52g/L↑，D-二聚体 2.36mg/L↑，血浆纤维蛋白(原)降解产物 6.64ug/ml↑；肝纤四项:血清透明质酸 120.62ng/ml↑；血清铁蛋白(FER)测定:铁蛋白 280.73ng/mL↑；肾功能全套,离子A全套,血脂A全套,肝功B全套,空腹血糖:总胆红素 21.4umol/L↑，高密度脂蛋白胆固醇 1.95mmol/L↑，低密度脂蛋白胆固醇 3.36mmol/L↑，钾 3.18mmol/L↓；肿瘤抗原七项全套:糖类抗原CA72-4 15.17U/ml↑；肝吸虫抗体检测:肝吸虫IgG抗体 阳性(+)↑；异常凝血酶原、两对半（定量）、丙型肝炎抗体、梅毒螺旋体特异性抗体、人类免疫缺陷病毒抗体。心电图：窦性心律，大致正常心电图。胸部正侧位片：1、两侧少量胸腔积液；2、右侧第3-8后肋骨折。全腹部{64排CT平扫+增强(含重建)}：1、右侧腹膜后占位，考虑良性肿瘤（神经源性肿瘤？血管源性肿瘤？），建议MRI检查；2、胆囊结石并胆囊炎；3、右肾脂肪瘤；4、双肾囊肿；5、两肺炎症；右侧胸腔少量积液。心脏彩超：左房增大 左室舒张功能减低。2021-11-29 急诊离子,急诊肾功能:镁 1.08mmol/L↑；凝血四项全套:凝血酶原时间活度 137.00%↑，纤维蛋白原含量 4.72g/L↑；血常规+CRP（急）:中性粒细胞百分比 75.4%↑；肝功B全套未见明显异常。24小时动态血压提示：全天血压平均值为129/76mmHg,白天血压平均值为135/78mmHg,夜间血压平均值为120/73mmHg,清晨血压平均值为153/87mmHg,晨峰指数52,夜间血压下降率全天93.2,白天96.1,夜间87.9。血压负荷：收缩压全天48%，白天44%，夜间56%，舒张压全天32%，白天13%，夜间67%，最大值：全天收缩压168，全天舒张压116，标准差：收缩压全天16.67，白天16.81，夜间11.43，舒张压全天10.73，白天12.09，夜间6.72；肝胆MR平扫+增强提示：1、腹膜后区椭圆形肿物，大小5mm×35mm×48mm，神经源性肿瘤？血管源性肿瘤？巨淋巴细胞增生？2、胆囊结石并胆囊炎；3、右肾脂肪瘤；4、双肾囊肿。目前诊断：1.腹膜后肿瘤性质待查（血管源性肿瘤？神经源性肿瘤？巨淋巴细胞增生？）；2.两肺挫伤；3.高血压病3级（极高危）；4.右第3-8肋骨骨折；5.胆囊结石；6.两肺炎；7.两侧胸腔少量积液；8.低钾血症；9.右肾脂肪瘤；10.双肾囊肿。入院后予护肝，止痛，止血，抗感染、止咳化痰，控制血压等治疗。现患者全腹部CT增强及全腹部MR提示腹膜后肿瘤，性质不明，现请各位医师针对患者诊断、治疗等方面进行讨论。</w:t>
            </w:r>
          </w:p>
          <w:p w14:paraId="7A699E7A">
            <w:pP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梁瀞云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结合病史、临床表现、查体及辅查等，目前诊断为：1.腹膜后肿瘤性质待查（血管源性肿瘤？神经源性肿瘤？巨淋巴细胞增生？）；2.两肺挫伤；3.高血压病3级（极高危）；4.右第3-8肋骨骨折；5.胆囊结石；6.两肺炎；7.两侧胸腔少量积液；8.低钾血症；9.右肾脂肪瘤；10.双肾囊肿。患者诊断腹膜后肿瘤，性质不明。腹膜后肿瘤是源于腹膜后间隙的非特定器官的一大类肿瘤，临床上较为罕见，按照生物学行为分为良性、恶性及交界性肿瘤，其以恶性肿瘤多见，主要包括脂肪肉瘤、平滑肌肉瘤、恶性纤维组织细胞瘤、恶性外周神经鞘瘤、滑膜肉瘤等。研究数据显示，腹膜后肿瘤的发病率为0.5/10万-1.0/10万，但近年来其发病率明显上升且呈年轻化趋势，其生物学行为多样，病理类型约70种，其中恶性腹膜后肉瘤占80%，该类肿瘤位置较深，发病隐匿，常常出现合并症才被发现，手术风险高。该患者行CT及MR均未能明确腹膜后肿瘤性质，下一步可请外科会诊行手术探查，并取病理活检明确诊断。</w:t>
            </w:r>
          </w:p>
          <w:p w14:paraId="6C288930">
            <w:pP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  <w:t>：同意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梁瀞云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  <w:t>医师的观点。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患者诊断腹膜后肿瘤，临床上少见，仅占全身恶性肿瘤的1%以下，60%-90%为恶性肿瘤，因生长部位较深，周围器官多，临床表现缺乏特异性，故诊断较为困难，除少数内分泌肿瘤外，大多数病人就诊时肿瘤已相当大，包含原发性肿瘤、转移性肿瘤，后两种肿瘤发病率明显高于其他组织来源的原发性肿瘤，因此诊断时警惕转移及原发性淋巴瘤，文献报告，其来源于间叶组织肿瘤，占20-60%，神经源性肿瘤，占10%-30；胚胎残留组织肿瘤，占10%。影像诊断结论非最终确诊结果，应尽可能准确给出肿瘤部位、范围、邻近组织关系，特别与血管的关系，下一步手术探查明确病理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  <w:t>。</w:t>
            </w:r>
          </w:p>
          <w:p w14:paraId="4FF007CE">
            <w:pP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  <w:t>伍漫漫：同意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梁瀞云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  <w:t>医师和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  <w:t>医师意见。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腹膜后肿瘤的诊断步骤，首先是否为腹膜后？，其次是否为脏器官来源？，再者寻找特殊征象、血供情况。脂肪肉瘤时腹膜后最常见恶性肿瘤，平滑肌肉瘤居第二位，其次还有神经内分泌肿瘤或神经节细胞瘤等。患者中年女性，无腹痛、腹胀等不适，腹部查体无特殊，全腹部CT及MR均提示腹膜后肿瘤，性质不明，影像学无法明确腹膜后肿瘤性质，可外科手术探查。中医诊断为积聚，应与以下疾病相鉴别：1、积聚当与痞满相鉴别：均可因七情失和、情志抑郁而致气滞痰阻，且均可出现胀满之症，但痞满以自觉脘腹部痞塞胀满，而外无形证可见，更无包块可及，其病变部位主要在胃；而积聚除胀满外。更有聚证发时有形可视，积证扪之有物可及之特征，其病变部位重在肝脾。2、积聚当与鼓胀相鉴别：均有七情抑郁、酒食所伤而致气滞血瘀的相同病机，其病变部位可同在肝脾，皆有胀满、疼痛、包块等临床表现，但鼓胀以腹大胀满、脉络暴露为临床特征，其病机变化复有水饮内停。因而腹中有无水液停聚是积聚与鼓胀鉴别之关键所在。3.积聚当与鼓胀相鉴别：均有七情抑郁、酒食所伤而致气滞血瘀的相同病机，其病变部位可同在肝脾，皆有胀满、疼痛、包块等临床表现，但鼓胀以腹大胀满、脉络暴露为临床特征，其病机变化复有水饮内停。因而腹中有无水液停聚是积聚与鼓胀鉴别之关键所在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  <w:t>。</w:t>
            </w:r>
          </w:p>
          <w:p w14:paraId="72F0A8C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  <w:t>罗伟生教授总结：同意以上各位医师的观点，同意目前诊断：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1.腹膜后肿瘤性质待查（血管源性肿瘤？神经源性肿瘤？巨淋巴细胞增生？）；2.两肺挫伤；3.高血压病3级（极高危）；4.右第3-8肋骨骨折；5.胆囊结石；6.两肺炎；7.两侧胸腔少量积液；8.低钾血症；9.右肾脂肪瘤；10.双肾囊肿。腹膜后肿瘤是指起源于腹膜后间质组织的肿瘤，可分为良性和恶性，其中恶性肿瘤包括脂肪肉瘤、纤维肉瘤、恶性畸胎瘤等，而良性肿瘤则有神经节细胞瘤等，一般肿瘤早期无明显症状，随着时间推移，肿瘤发展，体积增大，可压迫和侵犯周围邻近的脏器组织，进而产生相应的临床症状，此时较难诊断及治疗。腹膜后肿瘤的构成：1.中胚层来源恶性肿瘤：包括脂肪肉瘤、平滑肌瘤、胃肠道间质瘤；2.神经源性肿瘤：副神经节瘤、神经鞘瘤、神经节细胞瘤、嗜络细胞瘤、纤维神经瘤等；3.淋巴瘤；4.淋巴细胞相关病变：淋巴细胞增生性改变、腹膜后纤维化；5.转移性肿瘤：未知原发肿瘤来源、肾上腺皮质来源、肾细胞癌来源等；6.其他罕见良性肿瘤；7.其他恶性良性肿瘤。患者为中年女性，无任何相关临床表现，自诉发现占位有5年余，期间未予定期复查，入院后完善肝胆MR及CT检查均提示腹膜后肿瘤，性质不明，体积较大，下一步可请外科会诊，予手术探查，并取病理明确性质，才能制定有效的治疗方案。中医诊断为积聚，辨证为肝郁脾虚，中医药内服治以疏肝解郁，健脾和中，方选我科协定方柴芍健脾膏。方药如下：</w:t>
            </w:r>
          </w:p>
          <w:p w14:paraId="31B5D90C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柴胡12g      白芍30g     枳壳15g    陈皮10g    </w:t>
            </w:r>
          </w:p>
          <w:p w14:paraId="430F787F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黄芪30g      白术20g    茯苓20g    山药20g</w:t>
            </w:r>
          </w:p>
          <w:p w14:paraId="5D2CD7C0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法半夏12g    薏苡仁30g  枸杞20g    女贞子15g</w:t>
            </w:r>
          </w:p>
          <w:p w14:paraId="4F4A4176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丹参15g      山楂20g    甘草6g</w:t>
            </w:r>
          </w:p>
          <w:p w14:paraId="115439EA">
            <w:pPr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方解：方中柴胡、白芍、枳壳、陈皮疏肝理气为君，黄芪、白术、茯苓、山药、法半夏、苡仁益气健脾为臣，正所谓"知肝传脾，当先实脾"，枸杞、女贞子、白芍柔肝为佐，"肝为刚脏，以柔克刚"；丹参、山楂活血，甘草调和诸药。诸药合用，使肝气舒畅，脾胃健运，肝脾平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/>
              </w:rPr>
              <w:t>。</w:t>
            </w:r>
          </w:p>
        </w:tc>
      </w:tr>
    </w:tbl>
    <w:p w14:paraId="41F99FD0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c4M2QyNjk5OGZjZWI2NzVjYzQ1ZGUyOTJkYTQ4MGMifQ=="/>
  </w:docVars>
  <w:rsids>
    <w:rsidRoot w:val="00000000"/>
    <w:rsid w:val="10BF7690"/>
    <w:rsid w:val="1236453E"/>
    <w:rsid w:val="15280780"/>
    <w:rsid w:val="4AB3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qFormat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2912</Words>
  <Characters>3237</Characters>
  <Paragraphs>30</Paragraphs>
  <TotalTime>1</TotalTime>
  <ScaleCrop>false</ScaleCrop>
  <LinksUpToDate>false</LinksUpToDate>
  <CharactersWithSpaces>3241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山禾</cp:lastModifiedBy>
  <dcterms:modified xsi:type="dcterms:W3CDTF">2024-08-04T05:04:53Z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5F58B800A262408FA80FD390105C0502_13</vt:lpwstr>
  </property>
  <property fmtid="{D5CDD505-2E9C-101B-9397-08002B2CF9AE}" pid="3" name="KSOProductBuildVer">
    <vt:lpwstr>2052-12.1.0.17133</vt:lpwstr>
  </property>
</Properties>
</file>