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黄某昆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男，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右胁疼痛2年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2年前无明显诱因出现右胁疼痛，多处求医治以疏肝理气之法未见良效。现患者为求进一步诊治，遂来我院门诊就诊。刻诊：胁痛连及后背、疲倦乏力、心悸头晕、气短、面色萎黄、纳差脘胀、小腹坠胀、寐欠佳，大便溏薄、小便正常。舌淡红，苔白腻、脉弦细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发现乙型肝炎小三阳2年，规律服用恩替卡韦胶囊0.5mg1#qd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2022-09-08外院肝功能检查正常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腹部彩超：肝、胆、胰、脾、肾、门静脉未见异常。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肝着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心脾两虚，中阳下陷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乙型肝炎小三阳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补益心脾，益气升阳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归脾汤合补中益气汤加减</w:t>
            </w:r>
          </w:p>
          <w:p w14:paraId="19421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黄芪30g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炒白术10g   陈皮10g    升麻10g</w:t>
            </w:r>
          </w:p>
          <w:p w14:paraId="2826A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柴胡10g    党参15g     炙甘草10g  当归10g</w:t>
            </w:r>
          </w:p>
          <w:p w14:paraId="46B55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白芍10g    川楝子15g   延胡索10g  砂仁9g</w:t>
            </w:r>
          </w:p>
          <w:p w14:paraId="66652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陈皮10g    木香10g     酸枣仁10g  黄连6g</w:t>
            </w:r>
          </w:p>
          <w:p w14:paraId="6D702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大枣10g    生姜6g      玄参10g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30剂，水煎，日1剂，早晚分服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本案患者既往检查提示“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乙型肝炎小三阳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”属于中医学“肝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”范畴，《难经》言：“肝之积，名曰肥气”“积者脏病也”缘由患者久病肝络瘀滞不通，肝体失却柔养，疏泄失职所致，故患者可见疲倦乏力，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心悸头晕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心脾两虚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，故可见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纳差脘胀、小腹坠胀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舌淡红，苔白腻、脉弦细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均为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心脾两虚，中阳下陷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伍漫漫：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肝着的产生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与多个脏腑密切相关，其中与脾胃关系最为密切。《素问·灵兰秘典论》云：“脾胃者，仓廪之官，五味出焉。” 肝病其病机始发于郁，因为肝为木脏，喜条达，若内外合邪，则肝失疏泄，致饮食失调、情志不畅、气血不达，而必致血虚。正气不强则毒邪难除，毒邪不去则正气难复，郁不解则血难通，血不行则气必滞。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本案患者明确诊断“乙型肝炎小三阳”，属于中医学“肝着”范畴，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缘由肝气郁结日久，损伤心脾气血，足厥阴肝经布两胁，患者主诉胁痛连及后背，一般诊为肝气郁结当属无误，但患者以前治疗过程中屡用疏肝理气之品不效，除胁痛外，患者尚有气短，心悸头晕、面色萎黄、大便溏薄等脾虚之证。此时虽有胁痛，应以补益正气为主。中焦脾胃为气机升降枢纽，要使升降有节，脾胃必须健旺；否则即会招致肝木的克制而形成脾虚肝郁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276A1EBA"/>
    <w:rsid w:val="2CE42831"/>
    <w:rsid w:val="32354A98"/>
    <w:rsid w:val="6B2B1F62"/>
    <w:rsid w:val="6FB82179"/>
    <w:rsid w:val="7C5A5EA0"/>
    <w:rsid w:val="7F62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1093</Words>
  <Characters>1171</Characters>
  <Lines>10</Lines>
  <Paragraphs>3</Paragraphs>
  <TotalTime>5</TotalTime>
  <ScaleCrop>false</ScaleCrop>
  <LinksUpToDate>false</LinksUpToDate>
  <CharactersWithSpaces>1233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2024-07-27T07:04:39Z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BC569ABEE1414E109908AF1D4DAA6CAF_13</vt:lpwstr>
  </property>
</Properties>
</file>